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177" w:type="dxa"/>
        <w:jc w:val="center"/>
        <w:tblLayout w:type="autofit"/>
        <w:tblCellMar>
          <w:top w:w="0" w:type="dxa"/>
          <w:left w:w="108" w:type="dxa"/>
          <w:bottom w:w="0" w:type="dxa"/>
          <w:right w:w="108" w:type="dxa"/>
        </w:tblCellMar>
      </w:tblPr>
      <w:tblGrid>
        <w:gridCol w:w="8177"/>
      </w:tblGrid>
      <w:tr w14:paraId="339E8588">
        <w:tblPrEx>
          <w:tblCellMar>
            <w:top w:w="0" w:type="dxa"/>
            <w:left w:w="108" w:type="dxa"/>
            <w:bottom w:w="0" w:type="dxa"/>
            <w:right w:w="108" w:type="dxa"/>
          </w:tblCellMar>
        </w:tblPrEx>
        <w:trPr>
          <w:trHeight w:val="1701" w:hRule="atLeast"/>
          <w:jc w:val="center"/>
        </w:trPr>
        <w:tc>
          <w:tcPr>
            <w:tcW w:w="8177" w:type="dxa"/>
            <w:vAlign w:val="center"/>
          </w:tcPr>
          <w:p w14:paraId="7AD5A7D4">
            <w:pPr>
              <w:spacing w:line="360" w:lineRule="auto"/>
              <w:jc w:val="center"/>
              <w:rPr>
                <w:rFonts w:eastAsia="黑体"/>
                <w:spacing w:val="20"/>
                <w:sz w:val="32"/>
                <w:szCs w:val="32"/>
              </w:rPr>
            </w:pPr>
            <w:r>
              <w:rPr>
                <w:rFonts w:hint="eastAsia" w:eastAsia="黑体"/>
                <w:spacing w:val="20"/>
                <w:sz w:val="32"/>
              </w:rPr>
              <w:t>中国核</w:t>
            </w:r>
            <w:r>
              <w:rPr>
                <w:rFonts w:hint="eastAsia" w:eastAsia="黑体"/>
                <w:spacing w:val="20"/>
                <w:sz w:val="32"/>
                <w:lang w:val="en-US" w:eastAsia="zh-CN"/>
              </w:rPr>
              <w:t>学会</w:t>
            </w:r>
            <w:r>
              <w:rPr>
                <w:rFonts w:eastAsia="黑体"/>
                <w:spacing w:val="20"/>
                <w:sz w:val="32"/>
              </w:rPr>
              <w:t>标准</w:t>
            </w:r>
          </w:p>
        </w:tc>
      </w:tr>
      <w:tr w14:paraId="68681586">
        <w:tblPrEx>
          <w:tblCellMar>
            <w:top w:w="0" w:type="dxa"/>
            <w:left w:w="108" w:type="dxa"/>
            <w:bottom w:w="0" w:type="dxa"/>
            <w:right w:w="108" w:type="dxa"/>
          </w:tblCellMar>
        </w:tblPrEx>
        <w:trPr>
          <w:trHeight w:val="4535" w:hRule="atLeast"/>
          <w:jc w:val="center"/>
        </w:trPr>
        <w:tc>
          <w:tcPr>
            <w:tcW w:w="8177" w:type="dxa"/>
            <w:vAlign w:val="center"/>
          </w:tcPr>
          <w:p w14:paraId="26368758">
            <w:pPr>
              <w:spacing w:line="720" w:lineRule="auto"/>
              <w:jc w:val="center"/>
              <w:rPr>
                <w:rFonts w:eastAsia="黑体" w:cs="黑体"/>
                <w:spacing w:val="20"/>
                <w:sz w:val="44"/>
                <w:szCs w:val="44"/>
              </w:rPr>
            </w:pPr>
            <w:r>
              <w:rPr>
                <w:rFonts w:hint="eastAsia" w:eastAsia="黑体" w:cs="黑体"/>
                <w:spacing w:val="20"/>
                <w:sz w:val="44"/>
                <w:szCs w:val="44"/>
              </w:rPr>
              <w:t>高温气冷堆核能供热厂热力系统设计准则</w:t>
            </w:r>
          </w:p>
          <w:p w14:paraId="50E514E3">
            <w:pPr>
              <w:spacing w:line="720" w:lineRule="auto"/>
              <w:jc w:val="center"/>
              <w:rPr>
                <w:rFonts w:eastAsia="黑体"/>
                <w:spacing w:val="20"/>
                <w:sz w:val="44"/>
                <w:szCs w:val="44"/>
              </w:rPr>
            </w:pPr>
            <w:r>
              <w:rPr>
                <w:rFonts w:hint="eastAsia" w:eastAsia="黑体" w:cs="黑体"/>
                <w:spacing w:val="20"/>
                <w:sz w:val="44"/>
                <w:szCs w:val="44"/>
              </w:rPr>
              <w:t>（征求意见稿）</w:t>
            </w:r>
          </w:p>
        </w:tc>
      </w:tr>
      <w:tr w14:paraId="06168979">
        <w:tblPrEx>
          <w:tblCellMar>
            <w:top w:w="0" w:type="dxa"/>
            <w:left w:w="108" w:type="dxa"/>
            <w:bottom w:w="0" w:type="dxa"/>
            <w:right w:w="108" w:type="dxa"/>
          </w:tblCellMar>
        </w:tblPrEx>
        <w:trPr>
          <w:trHeight w:val="4535" w:hRule="atLeast"/>
          <w:jc w:val="center"/>
        </w:trPr>
        <w:tc>
          <w:tcPr>
            <w:tcW w:w="8177" w:type="dxa"/>
            <w:vAlign w:val="center"/>
          </w:tcPr>
          <w:p w14:paraId="0E49220F">
            <w:pPr>
              <w:spacing w:line="360" w:lineRule="auto"/>
              <w:jc w:val="center"/>
              <w:rPr>
                <w:rFonts w:eastAsia="黑体"/>
                <w:spacing w:val="20"/>
                <w:sz w:val="44"/>
                <w:szCs w:val="44"/>
              </w:rPr>
            </w:pPr>
            <w:r>
              <w:rPr>
                <w:rFonts w:hint="eastAsia" w:eastAsia="黑体"/>
                <w:spacing w:val="20"/>
                <w:sz w:val="44"/>
                <w:szCs w:val="32"/>
              </w:rPr>
              <w:t>编制说明</w:t>
            </w:r>
          </w:p>
        </w:tc>
      </w:tr>
      <w:tr w14:paraId="2F685D47">
        <w:tblPrEx>
          <w:tblCellMar>
            <w:top w:w="0" w:type="dxa"/>
            <w:left w:w="108" w:type="dxa"/>
            <w:bottom w:w="0" w:type="dxa"/>
            <w:right w:w="108" w:type="dxa"/>
          </w:tblCellMar>
        </w:tblPrEx>
        <w:trPr>
          <w:trHeight w:val="2835" w:hRule="atLeast"/>
          <w:jc w:val="center"/>
        </w:trPr>
        <w:tc>
          <w:tcPr>
            <w:tcW w:w="8177" w:type="dxa"/>
            <w:vAlign w:val="center"/>
          </w:tcPr>
          <w:p w14:paraId="32863B2D">
            <w:pPr>
              <w:spacing w:line="360" w:lineRule="auto"/>
              <w:jc w:val="center"/>
              <w:rPr>
                <w:rFonts w:hint="eastAsia" w:eastAsia="黑体"/>
                <w:color w:val="0070C0"/>
                <w:spacing w:val="20"/>
                <w:sz w:val="32"/>
                <w:lang w:eastAsia="zh-CN"/>
              </w:rPr>
            </w:pPr>
            <w:r>
              <w:rPr>
                <w:rFonts w:hint="eastAsia" w:eastAsia="黑体"/>
                <w:color w:val="0070C0"/>
                <w:spacing w:val="20"/>
                <w:sz w:val="32"/>
                <w:lang w:val="en-US" w:eastAsia="zh-CN"/>
              </w:rPr>
              <w:t>中核能源科技有限公司</w:t>
            </w:r>
          </w:p>
          <w:p w14:paraId="4F0C55E0">
            <w:pPr>
              <w:spacing w:line="360" w:lineRule="auto"/>
              <w:jc w:val="center"/>
              <w:rPr>
                <w:rFonts w:eastAsia="黑体"/>
                <w:sz w:val="28"/>
                <w:szCs w:val="28"/>
              </w:rPr>
            </w:pPr>
            <w:r>
              <w:rPr>
                <w:rFonts w:eastAsia="黑体"/>
                <w:spacing w:val="20"/>
                <w:sz w:val="32"/>
              </w:rPr>
              <w:t>20</w:t>
            </w:r>
            <w:r>
              <w:rPr>
                <w:rFonts w:hint="eastAsia" w:eastAsia="黑体"/>
                <w:spacing w:val="20"/>
                <w:sz w:val="32"/>
                <w:lang w:val="en-US" w:eastAsia="zh-CN"/>
              </w:rPr>
              <w:t>26</w:t>
            </w:r>
            <w:r>
              <w:rPr>
                <w:rFonts w:hint="eastAsia" w:eastAsia="黑体"/>
                <w:spacing w:val="20"/>
                <w:sz w:val="32"/>
              </w:rPr>
              <w:t>年</w:t>
            </w:r>
            <w:r>
              <w:rPr>
                <w:rFonts w:hint="eastAsia" w:eastAsia="黑体"/>
                <w:spacing w:val="20"/>
                <w:sz w:val="32"/>
                <w:lang w:val="en-US" w:eastAsia="zh-CN"/>
              </w:rPr>
              <w:t>06</w:t>
            </w:r>
            <w:r>
              <w:rPr>
                <w:rFonts w:hint="eastAsia" w:eastAsia="黑体"/>
                <w:spacing w:val="20"/>
                <w:sz w:val="32"/>
              </w:rPr>
              <w:t>月</w:t>
            </w:r>
          </w:p>
        </w:tc>
      </w:tr>
    </w:tbl>
    <w:p w14:paraId="31894ACB">
      <w:pPr>
        <w:snapToGrid w:val="0"/>
        <w:jc w:val="center"/>
        <w:rPr>
          <w:rFonts w:ascii="黑体" w:eastAsia="黑体"/>
          <w:spacing w:val="20"/>
          <w:sz w:val="30"/>
          <w:szCs w:val="30"/>
        </w:rPr>
        <w:sectPr>
          <w:footerReference r:id="rId3" w:type="default"/>
          <w:pgSz w:w="11906" w:h="16838"/>
          <w:pgMar w:top="1440" w:right="1800" w:bottom="1440" w:left="1800" w:header="851" w:footer="992" w:gutter="0"/>
          <w:cols w:space="425" w:num="1"/>
          <w:docGrid w:type="lines" w:linePitch="312" w:charSpace="0"/>
        </w:sectPr>
      </w:pPr>
    </w:p>
    <w:p w14:paraId="16D6710F">
      <w:pPr>
        <w:snapToGrid w:val="0"/>
        <w:jc w:val="center"/>
        <w:rPr>
          <w:rFonts w:ascii="黑体" w:eastAsia="黑体"/>
          <w:spacing w:val="20"/>
          <w:sz w:val="30"/>
          <w:szCs w:val="30"/>
        </w:rPr>
      </w:pPr>
    </w:p>
    <w:p w14:paraId="5CEB249C">
      <w:pPr>
        <w:snapToGrid w:val="0"/>
        <w:jc w:val="center"/>
        <w:rPr>
          <w:rFonts w:ascii="黑体" w:eastAsia="黑体"/>
          <w:sz w:val="32"/>
          <w:szCs w:val="32"/>
        </w:rPr>
      </w:pPr>
      <w:r>
        <w:rPr>
          <w:rFonts w:hint="eastAsia" w:ascii="黑体" w:eastAsia="黑体"/>
          <w:spacing w:val="20"/>
          <w:sz w:val="32"/>
          <w:szCs w:val="30"/>
        </w:rPr>
        <w:t>标准名称</w:t>
      </w:r>
    </w:p>
    <w:p w14:paraId="410C97CE">
      <w:pPr>
        <w:numPr>
          <w:ilvl w:val="0"/>
          <w:numId w:val="1"/>
        </w:numPr>
        <w:spacing w:before="240" w:after="240" w:line="360" w:lineRule="auto"/>
        <w:rPr>
          <w:rFonts w:eastAsia="黑体"/>
          <w:sz w:val="28"/>
          <w:szCs w:val="28"/>
        </w:rPr>
      </w:pPr>
      <w:r>
        <w:rPr>
          <w:rFonts w:eastAsia="黑体"/>
          <w:sz w:val="28"/>
          <w:szCs w:val="28"/>
        </w:rPr>
        <w:t>任务来源及计划要求</w:t>
      </w:r>
    </w:p>
    <w:p w14:paraId="4C1E05D1">
      <w:pPr>
        <w:spacing w:line="360" w:lineRule="auto"/>
        <w:ind w:firstLine="480" w:firstLineChars="200"/>
        <w:rPr>
          <w:rFonts w:ascii="宋体" w:hAnsi="宋体"/>
          <w:color w:val="000000"/>
          <w:kern w:val="0"/>
          <w:sz w:val="24"/>
        </w:rPr>
      </w:pPr>
      <w:r>
        <w:rPr>
          <w:rFonts w:hint="eastAsia" w:ascii="宋体" w:hAnsi="宋体"/>
          <w:kern w:val="0"/>
          <w:sz w:val="24"/>
          <w:lang w:val="zh-CN"/>
        </w:rPr>
        <w:t>本标准制修订任务由中国核学会《关于下达2026年度第二批核学会团体标准立项计划的通知》（中核学发【2026】115号），计划编号：HTB2026022，标准计划名称为《高温气冷堆核能供热厂热力系统设计准则》，由中核能源科技有限公司、清华大学核能与新能源技术研究院等起草，要求于2026年12月完成本项目</w:t>
      </w:r>
      <w:r>
        <w:rPr>
          <w:rFonts w:ascii="宋体" w:hAnsi="宋体"/>
          <w:color w:val="000000"/>
          <w:kern w:val="0"/>
          <w:sz w:val="24"/>
        </w:rPr>
        <w:t>。</w:t>
      </w:r>
    </w:p>
    <w:p w14:paraId="01C0C89B">
      <w:pPr>
        <w:numPr>
          <w:ilvl w:val="0"/>
          <w:numId w:val="1"/>
        </w:numPr>
        <w:spacing w:before="240" w:after="240" w:line="360" w:lineRule="auto"/>
        <w:rPr>
          <w:rFonts w:eastAsia="黑体"/>
          <w:sz w:val="28"/>
          <w:szCs w:val="28"/>
        </w:rPr>
      </w:pPr>
      <w:r>
        <w:rPr>
          <w:rFonts w:hint="eastAsia" w:eastAsia="黑体"/>
          <w:sz w:val="28"/>
          <w:szCs w:val="28"/>
        </w:rPr>
        <w:t>标准编制组组成</w:t>
      </w:r>
    </w:p>
    <w:p w14:paraId="036AD12C">
      <w:pPr>
        <w:spacing w:line="360" w:lineRule="auto"/>
        <w:ind w:firstLine="480" w:firstLineChars="200"/>
        <w:rPr>
          <w:rFonts w:ascii="宋体" w:hAnsi="宋体"/>
          <w:kern w:val="0"/>
          <w:sz w:val="24"/>
          <w:lang w:val="zh-CN"/>
        </w:rPr>
      </w:pPr>
      <w:r>
        <w:rPr>
          <w:rFonts w:hint="eastAsia" w:ascii="宋体" w:hAnsi="宋体"/>
          <w:kern w:val="0"/>
          <w:sz w:val="24"/>
          <w:lang w:val="zh-CN"/>
        </w:rPr>
        <w:t>本标准起草工作组成员及任务分工见表1。</w:t>
      </w:r>
    </w:p>
    <w:p w14:paraId="25123730">
      <w:pPr>
        <w:spacing w:line="360" w:lineRule="auto"/>
        <w:ind w:firstLine="480" w:firstLineChars="200"/>
        <w:jc w:val="center"/>
        <w:rPr>
          <w:rFonts w:ascii="宋体" w:hAnsi="宋体"/>
          <w:sz w:val="24"/>
        </w:rPr>
      </w:pPr>
      <w:r>
        <w:rPr>
          <w:rFonts w:hint="eastAsia" w:ascii="宋体" w:hAnsi="宋体"/>
          <w:sz w:val="24"/>
        </w:rPr>
        <w:t xml:space="preserve">表1 </w:t>
      </w:r>
      <w:r>
        <w:rPr>
          <w:rFonts w:ascii="宋体" w:hAnsi="宋体"/>
          <w:sz w:val="24"/>
        </w:rPr>
        <w:t xml:space="preserve"> </w:t>
      </w:r>
      <w:r>
        <w:rPr>
          <w:rFonts w:hint="eastAsia" w:ascii="宋体" w:hAnsi="宋体"/>
          <w:kern w:val="0"/>
          <w:sz w:val="24"/>
          <w:lang w:val="zh-CN"/>
        </w:rPr>
        <w:t>起草工作</w:t>
      </w:r>
      <w:r>
        <w:rPr>
          <w:rFonts w:hint="eastAsia" w:ascii="宋体" w:hAnsi="宋体"/>
          <w:sz w:val="24"/>
        </w:rPr>
        <w:t>组成员及</w:t>
      </w:r>
      <w:r>
        <w:rPr>
          <w:rFonts w:hint="eastAsia" w:ascii="宋体" w:hAnsi="宋体"/>
          <w:kern w:val="0"/>
          <w:sz w:val="24"/>
          <w:lang w:val="zh-CN"/>
        </w:rPr>
        <w:t>任务</w:t>
      </w:r>
      <w:r>
        <w:rPr>
          <w:rFonts w:hint="eastAsia" w:ascii="宋体" w:hAnsi="宋体"/>
          <w:sz w:val="24"/>
        </w:rPr>
        <w:t>分工</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34"/>
        <w:gridCol w:w="2977"/>
        <w:gridCol w:w="1843"/>
        <w:gridCol w:w="1751"/>
      </w:tblGrid>
      <w:tr w14:paraId="0EA87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270EDF4">
            <w:pPr>
              <w:spacing w:line="360" w:lineRule="auto"/>
              <w:jc w:val="center"/>
              <w:rPr>
                <w:rFonts w:ascii="宋体" w:hAnsi="宋体"/>
                <w:szCs w:val="21"/>
              </w:rPr>
            </w:pPr>
            <w:r>
              <w:rPr>
                <w:rFonts w:hint="eastAsia" w:ascii="宋体" w:hAnsi="宋体"/>
                <w:szCs w:val="21"/>
              </w:rPr>
              <w:t>序号</w:t>
            </w:r>
          </w:p>
        </w:tc>
        <w:tc>
          <w:tcPr>
            <w:tcW w:w="1134" w:type="dxa"/>
          </w:tcPr>
          <w:p w14:paraId="65C23673">
            <w:pPr>
              <w:spacing w:line="360" w:lineRule="auto"/>
              <w:jc w:val="center"/>
              <w:rPr>
                <w:rFonts w:ascii="宋体" w:hAnsi="宋体"/>
                <w:szCs w:val="21"/>
              </w:rPr>
            </w:pPr>
            <w:r>
              <w:rPr>
                <w:rFonts w:hint="eastAsia" w:ascii="宋体" w:hAnsi="宋体"/>
                <w:szCs w:val="21"/>
              </w:rPr>
              <w:t>姓名</w:t>
            </w:r>
          </w:p>
        </w:tc>
        <w:tc>
          <w:tcPr>
            <w:tcW w:w="2977" w:type="dxa"/>
          </w:tcPr>
          <w:p w14:paraId="351D29A0">
            <w:pPr>
              <w:spacing w:line="360" w:lineRule="auto"/>
              <w:jc w:val="center"/>
              <w:rPr>
                <w:rFonts w:ascii="宋体" w:hAnsi="宋体"/>
                <w:szCs w:val="21"/>
              </w:rPr>
            </w:pPr>
            <w:r>
              <w:rPr>
                <w:rFonts w:hint="eastAsia" w:ascii="宋体" w:hAnsi="宋体"/>
                <w:szCs w:val="21"/>
              </w:rPr>
              <w:t>单位</w:t>
            </w:r>
          </w:p>
        </w:tc>
        <w:tc>
          <w:tcPr>
            <w:tcW w:w="1843" w:type="dxa"/>
          </w:tcPr>
          <w:p w14:paraId="4427E713">
            <w:pPr>
              <w:spacing w:line="360" w:lineRule="auto"/>
              <w:jc w:val="center"/>
              <w:rPr>
                <w:rFonts w:ascii="宋体" w:hAnsi="宋体"/>
                <w:szCs w:val="21"/>
              </w:rPr>
            </w:pPr>
            <w:r>
              <w:rPr>
                <w:rFonts w:hint="eastAsia" w:ascii="宋体" w:hAnsi="宋体"/>
                <w:szCs w:val="21"/>
              </w:rPr>
              <w:t>职务/职称</w:t>
            </w:r>
          </w:p>
        </w:tc>
        <w:tc>
          <w:tcPr>
            <w:tcW w:w="1751" w:type="dxa"/>
          </w:tcPr>
          <w:p w14:paraId="191B1308">
            <w:pPr>
              <w:spacing w:line="360" w:lineRule="auto"/>
              <w:jc w:val="center"/>
              <w:rPr>
                <w:rFonts w:ascii="宋体" w:hAnsi="宋体"/>
                <w:szCs w:val="21"/>
              </w:rPr>
            </w:pPr>
            <w:r>
              <w:rPr>
                <w:rFonts w:hint="eastAsia" w:ascii="宋体" w:hAnsi="宋体"/>
                <w:szCs w:val="21"/>
              </w:rPr>
              <w:t>任务</w:t>
            </w:r>
          </w:p>
        </w:tc>
      </w:tr>
      <w:tr w14:paraId="51C7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4428D3E">
            <w:pPr>
              <w:spacing w:line="360" w:lineRule="auto"/>
              <w:jc w:val="center"/>
              <w:rPr>
                <w:rFonts w:ascii="宋体" w:hAnsi="宋体"/>
                <w:szCs w:val="21"/>
              </w:rPr>
            </w:pPr>
            <w:r>
              <w:rPr>
                <w:rFonts w:hint="eastAsia" w:ascii="宋体" w:hAnsi="宋体"/>
                <w:szCs w:val="21"/>
              </w:rPr>
              <w:t>1</w:t>
            </w:r>
          </w:p>
        </w:tc>
        <w:tc>
          <w:tcPr>
            <w:tcW w:w="1134" w:type="dxa"/>
            <w:vAlign w:val="top"/>
          </w:tcPr>
          <w:p w14:paraId="7F0606C9">
            <w:pPr>
              <w:rPr>
                <w:rFonts w:asciiTheme="minorHAnsi" w:hAnsiTheme="minorHAnsi" w:eastAsiaTheme="minorEastAsia" w:cstheme="minorBidi"/>
                <w:kern w:val="2"/>
                <w:sz w:val="21"/>
                <w:szCs w:val="21"/>
                <w:lang w:val="en-US" w:eastAsia="zh-CN" w:bidi="ar-SA"/>
              </w:rPr>
            </w:pPr>
            <w:r>
              <w:rPr>
                <w:rFonts w:hint="eastAsia"/>
                <w:sz w:val="21"/>
                <w:szCs w:val="21"/>
              </w:rPr>
              <w:t>李爱娟</w:t>
            </w:r>
          </w:p>
        </w:tc>
        <w:tc>
          <w:tcPr>
            <w:tcW w:w="2977" w:type="dxa"/>
            <w:vAlign w:val="top"/>
          </w:tcPr>
          <w:p w14:paraId="2F04D1CC">
            <w:pPr>
              <w:rPr>
                <w:rFonts w:asciiTheme="minorHAnsi" w:hAnsiTheme="minorHAnsi" w:eastAsiaTheme="minorEastAsia" w:cstheme="minorBidi"/>
                <w:kern w:val="2"/>
                <w:sz w:val="21"/>
                <w:szCs w:val="21"/>
                <w:lang w:val="en-US" w:eastAsia="zh-CN" w:bidi="ar-SA"/>
              </w:rPr>
            </w:pPr>
            <w:r>
              <w:rPr>
                <w:rFonts w:hint="eastAsia"/>
                <w:sz w:val="21"/>
                <w:szCs w:val="21"/>
              </w:rPr>
              <w:t>中核能源科技有限公司</w:t>
            </w:r>
          </w:p>
        </w:tc>
        <w:tc>
          <w:tcPr>
            <w:tcW w:w="1843" w:type="dxa"/>
            <w:vAlign w:val="top"/>
          </w:tcPr>
          <w:p w14:paraId="51713C3B">
            <w:pPr>
              <w:rPr>
                <w:rFonts w:asciiTheme="minorHAnsi" w:hAnsiTheme="minorHAnsi" w:eastAsiaTheme="minorEastAsia" w:cstheme="minorBidi"/>
                <w:kern w:val="2"/>
                <w:sz w:val="21"/>
                <w:szCs w:val="21"/>
                <w:lang w:val="en-US" w:eastAsia="zh-CN" w:bidi="ar-SA"/>
              </w:rPr>
            </w:pPr>
            <w:r>
              <w:rPr>
                <w:sz w:val="21"/>
                <w:szCs w:val="21"/>
              </w:rPr>
              <w:t>高工</w:t>
            </w:r>
          </w:p>
        </w:tc>
        <w:tc>
          <w:tcPr>
            <w:tcW w:w="1751" w:type="dxa"/>
            <w:vAlign w:val="top"/>
          </w:tcPr>
          <w:p w14:paraId="15AE490A">
            <w:pPr>
              <w:rPr>
                <w:rFonts w:asciiTheme="minorHAnsi" w:hAnsiTheme="minorHAnsi" w:eastAsiaTheme="minorEastAsia" w:cstheme="minorBidi"/>
                <w:kern w:val="2"/>
                <w:sz w:val="21"/>
                <w:szCs w:val="21"/>
                <w:lang w:val="en-US" w:eastAsia="zh-CN" w:bidi="ar-SA"/>
              </w:rPr>
            </w:pPr>
            <w:r>
              <w:rPr>
                <w:sz w:val="21"/>
                <w:szCs w:val="21"/>
              </w:rPr>
              <w:t>编制全文</w:t>
            </w:r>
          </w:p>
        </w:tc>
      </w:tr>
      <w:tr w14:paraId="55BC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13090C3">
            <w:pPr>
              <w:spacing w:line="360" w:lineRule="auto"/>
              <w:jc w:val="center"/>
              <w:rPr>
                <w:rFonts w:ascii="宋体" w:hAnsi="宋体"/>
                <w:szCs w:val="21"/>
              </w:rPr>
            </w:pPr>
            <w:r>
              <w:rPr>
                <w:rFonts w:hint="eastAsia" w:ascii="宋体" w:hAnsi="宋体"/>
                <w:szCs w:val="21"/>
              </w:rPr>
              <w:t>2</w:t>
            </w:r>
          </w:p>
        </w:tc>
        <w:tc>
          <w:tcPr>
            <w:tcW w:w="1134" w:type="dxa"/>
            <w:vAlign w:val="top"/>
          </w:tcPr>
          <w:p w14:paraId="5E9E832D">
            <w:pPr>
              <w:rPr>
                <w:rFonts w:hint="eastAsia" w:asciiTheme="minorHAnsi" w:hAnsiTheme="minorHAnsi" w:eastAsiaTheme="minorEastAsia" w:cstheme="minorBidi"/>
                <w:kern w:val="2"/>
                <w:sz w:val="21"/>
                <w:szCs w:val="21"/>
                <w:lang w:val="en-US" w:eastAsia="zh-CN" w:bidi="ar-SA"/>
              </w:rPr>
            </w:pPr>
            <w:r>
              <w:rPr>
                <w:rFonts w:hint="eastAsia"/>
                <w:sz w:val="21"/>
                <w:szCs w:val="21"/>
              </w:rPr>
              <w:t>岳鹏秀</w:t>
            </w:r>
          </w:p>
        </w:tc>
        <w:tc>
          <w:tcPr>
            <w:tcW w:w="2977" w:type="dxa"/>
            <w:vAlign w:val="top"/>
          </w:tcPr>
          <w:p w14:paraId="7C329596">
            <w:pPr>
              <w:rPr>
                <w:rFonts w:hint="eastAsia" w:asciiTheme="minorHAnsi" w:hAnsiTheme="minorHAnsi" w:eastAsiaTheme="minorEastAsia" w:cstheme="minorBidi"/>
                <w:kern w:val="2"/>
                <w:sz w:val="21"/>
                <w:szCs w:val="21"/>
                <w:lang w:val="en-US" w:eastAsia="zh-CN" w:bidi="ar-SA"/>
              </w:rPr>
            </w:pPr>
            <w:r>
              <w:rPr>
                <w:rFonts w:hint="eastAsia"/>
                <w:sz w:val="21"/>
                <w:szCs w:val="21"/>
              </w:rPr>
              <w:t>中核能源科技有限公司</w:t>
            </w:r>
          </w:p>
        </w:tc>
        <w:tc>
          <w:tcPr>
            <w:tcW w:w="1843" w:type="dxa"/>
            <w:vAlign w:val="top"/>
          </w:tcPr>
          <w:p w14:paraId="419EEA7A">
            <w:pPr>
              <w:rPr>
                <w:rFonts w:asciiTheme="minorHAnsi" w:hAnsiTheme="minorHAnsi" w:eastAsiaTheme="minorEastAsia" w:cstheme="minorBidi"/>
                <w:kern w:val="2"/>
                <w:sz w:val="21"/>
                <w:szCs w:val="21"/>
                <w:lang w:val="en-US" w:eastAsia="zh-CN" w:bidi="ar-SA"/>
              </w:rPr>
            </w:pPr>
            <w:r>
              <w:rPr>
                <w:sz w:val="21"/>
                <w:szCs w:val="21"/>
              </w:rPr>
              <w:t>高工</w:t>
            </w:r>
          </w:p>
        </w:tc>
        <w:tc>
          <w:tcPr>
            <w:tcW w:w="1751" w:type="dxa"/>
            <w:vAlign w:val="top"/>
          </w:tcPr>
          <w:p w14:paraId="0613C63C">
            <w:pPr>
              <w:rPr>
                <w:rFonts w:asciiTheme="minorHAnsi" w:hAnsiTheme="minorHAnsi" w:eastAsiaTheme="minorEastAsia" w:cstheme="minorBidi"/>
                <w:kern w:val="2"/>
                <w:sz w:val="21"/>
                <w:szCs w:val="21"/>
                <w:lang w:val="en-US" w:eastAsia="zh-CN" w:bidi="ar-SA"/>
              </w:rPr>
            </w:pPr>
            <w:r>
              <w:rPr>
                <w:sz w:val="21"/>
                <w:szCs w:val="21"/>
              </w:rPr>
              <w:t>编制全文</w:t>
            </w:r>
          </w:p>
        </w:tc>
      </w:tr>
      <w:tr w14:paraId="0B0F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4954848">
            <w:pPr>
              <w:spacing w:line="360" w:lineRule="auto"/>
              <w:jc w:val="center"/>
              <w:rPr>
                <w:rFonts w:ascii="宋体" w:hAnsi="宋体"/>
                <w:szCs w:val="21"/>
              </w:rPr>
            </w:pPr>
            <w:r>
              <w:rPr>
                <w:rFonts w:hint="eastAsia" w:ascii="宋体" w:hAnsi="宋体"/>
                <w:szCs w:val="21"/>
              </w:rPr>
              <w:t>3</w:t>
            </w:r>
          </w:p>
        </w:tc>
        <w:tc>
          <w:tcPr>
            <w:tcW w:w="1134" w:type="dxa"/>
            <w:vAlign w:val="top"/>
          </w:tcPr>
          <w:p w14:paraId="33667B3A">
            <w:pPr>
              <w:rPr>
                <w:rFonts w:hint="eastAsia" w:asciiTheme="minorHAnsi" w:hAnsiTheme="minorHAnsi" w:eastAsiaTheme="minorEastAsia" w:cstheme="minorBidi"/>
                <w:kern w:val="2"/>
                <w:sz w:val="21"/>
                <w:szCs w:val="21"/>
                <w:lang w:val="en-US" w:eastAsia="zh-CN" w:bidi="ar-SA"/>
              </w:rPr>
            </w:pPr>
            <w:r>
              <w:rPr>
                <w:rFonts w:hint="eastAsia"/>
                <w:sz w:val="21"/>
                <w:szCs w:val="21"/>
              </w:rPr>
              <w:t>谷海强</w:t>
            </w:r>
          </w:p>
        </w:tc>
        <w:tc>
          <w:tcPr>
            <w:tcW w:w="2977" w:type="dxa"/>
            <w:vAlign w:val="top"/>
          </w:tcPr>
          <w:p w14:paraId="6FCBED8A">
            <w:pPr>
              <w:rPr>
                <w:rFonts w:hint="eastAsia" w:asciiTheme="minorHAnsi" w:hAnsiTheme="minorHAnsi" w:eastAsiaTheme="minorEastAsia" w:cstheme="minorBidi"/>
                <w:kern w:val="2"/>
                <w:sz w:val="21"/>
                <w:szCs w:val="21"/>
                <w:lang w:val="en-US" w:eastAsia="zh-CN" w:bidi="ar-SA"/>
              </w:rPr>
            </w:pPr>
            <w:r>
              <w:rPr>
                <w:rFonts w:hint="eastAsia"/>
                <w:sz w:val="21"/>
                <w:szCs w:val="21"/>
              </w:rPr>
              <w:t>中核能源科技有限公司</w:t>
            </w:r>
          </w:p>
        </w:tc>
        <w:tc>
          <w:tcPr>
            <w:tcW w:w="1843" w:type="dxa"/>
            <w:vAlign w:val="top"/>
          </w:tcPr>
          <w:p w14:paraId="49E82C08">
            <w:pPr>
              <w:rPr>
                <w:rFonts w:asciiTheme="minorHAnsi" w:hAnsiTheme="minorHAnsi" w:eastAsiaTheme="minorEastAsia" w:cstheme="minorBidi"/>
                <w:kern w:val="2"/>
                <w:sz w:val="21"/>
                <w:szCs w:val="21"/>
                <w:lang w:val="en-US" w:eastAsia="zh-CN" w:bidi="ar-SA"/>
              </w:rPr>
            </w:pPr>
            <w:r>
              <w:rPr>
                <w:rFonts w:hint="eastAsia"/>
                <w:sz w:val="21"/>
                <w:szCs w:val="21"/>
              </w:rPr>
              <w:t>工程师</w:t>
            </w:r>
          </w:p>
        </w:tc>
        <w:tc>
          <w:tcPr>
            <w:tcW w:w="1751" w:type="dxa"/>
            <w:vAlign w:val="top"/>
          </w:tcPr>
          <w:p w14:paraId="11F36A63">
            <w:pPr>
              <w:rPr>
                <w:rFonts w:hint="eastAsia" w:asciiTheme="minorHAnsi" w:hAnsiTheme="minorHAnsi" w:eastAsiaTheme="minorEastAsia" w:cstheme="minorBidi"/>
                <w:kern w:val="2"/>
                <w:sz w:val="21"/>
                <w:szCs w:val="21"/>
                <w:lang w:val="en-US" w:eastAsia="zh-CN" w:bidi="ar-SA"/>
              </w:rPr>
            </w:pPr>
            <w:r>
              <w:rPr>
                <w:rFonts w:hint="eastAsia"/>
                <w:sz w:val="21"/>
                <w:szCs w:val="21"/>
                <w:lang w:val="en-US" w:eastAsia="zh-CN"/>
              </w:rPr>
              <w:t>校核</w:t>
            </w:r>
            <w:r>
              <w:rPr>
                <w:sz w:val="21"/>
                <w:szCs w:val="21"/>
              </w:rPr>
              <w:t>全文</w:t>
            </w:r>
          </w:p>
        </w:tc>
      </w:tr>
      <w:tr w14:paraId="2911E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235252E">
            <w:pPr>
              <w:spacing w:line="360" w:lineRule="auto"/>
              <w:jc w:val="center"/>
              <w:rPr>
                <w:rFonts w:ascii="宋体" w:hAnsi="宋体"/>
                <w:szCs w:val="21"/>
              </w:rPr>
            </w:pPr>
            <w:r>
              <w:rPr>
                <w:rFonts w:hint="eastAsia" w:ascii="宋体" w:hAnsi="宋体"/>
                <w:szCs w:val="21"/>
              </w:rPr>
              <w:t>4</w:t>
            </w:r>
          </w:p>
        </w:tc>
        <w:tc>
          <w:tcPr>
            <w:tcW w:w="1134" w:type="dxa"/>
            <w:vAlign w:val="top"/>
          </w:tcPr>
          <w:p w14:paraId="32822C94">
            <w:pPr>
              <w:rPr>
                <w:rFonts w:hint="eastAsia" w:asciiTheme="minorHAnsi" w:hAnsiTheme="minorHAnsi" w:eastAsiaTheme="minorEastAsia" w:cstheme="minorBidi"/>
                <w:kern w:val="2"/>
                <w:sz w:val="21"/>
                <w:szCs w:val="21"/>
                <w:lang w:val="en-US" w:eastAsia="zh-CN" w:bidi="ar-SA"/>
              </w:rPr>
            </w:pPr>
            <w:r>
              <w:rPr>
                <w:rFonts w:hint="eastAsia"/>
                <w:sz w:val="21"/>
                <w:szCs w:val="21"/>
              </w:rPr>
              <w:t>史良宵</w:t>
            </w:r>
          </w:p>
        </w:tc>
        <w:tc>
          <w:tcPr>
            <w:tcW w:w="2977" w:type="dxa"/>
            <w:vAlign w:val="top"/>
          </w:tcPr>
          <w:p w14:paraId="0E1E1BAF">
            <w:pPr>
              <w:rPr>
                <w:rFonts w:hint="eastAsia" w:asciiTheme="minorHAnsi" w:hAnsiTheme="minorHAnsi" w:eastAsiaTheme="minorEastAsia" w:cstheme="minorBidi"/>
                <w:kern w:val="2"/>
                <w:sz w:val="21"/>
                <w:szCs w:val="21"/>
                <w:lang w:val="en-US" w:eastAsia="zh-CN" w:bidi="ar-SA"/>
              </w:rPr>
            </w:pPr>
            <w:r>
              <w:rPr>
                <w:rFonts w:hint="eastAsia"/>
                <w:sz w:val="21"/>
                <w:szCs w:val="21"/>
              </w:rPr>
              <w:t>中核能源科技有限公司</w:t>
            </w:r>
          </w:p>
        </w:tc>
        <w:tc>
          <w:tcPr>
            <w:tcW w:w="1843" w:type="dxa"/>
            <w:vAlign w:val="top"/>
          </w:tcPr>
          <w:p w14:paraId="7B1EE9BA">
            <w:pPr>
              <w:rPr>
                <w:rFonts w:hint="eastAsia" w:asciiTheme="minorHAnsi" w:hAnsiTheme="minorHAnsi" w:eastAsiaTheme="minorEastAsia" w:cstheme="minorBidi"/>
                <w:kern w:val="2"/>
                <w:sz w:val="21"/>
                <w:szCs w:val="21"/>
                <w:lang w:val="en-US" w:eastAsia="zh-CN" w:bidi="ar-SA"/>
              </w:rPr>
            </w:pPr>
            <w:r>
              <w:rPr>
                <w:rFonts w:hint="eastAsia"/>
                <w:sz w:val="21"/>
                <w:szCs w:val="21"/>
              </w:rPr>
              <w:t>高工</w:t>
            </w:r>
          </w:p>
        </w:tc>
        <w:tc>
          <w:tcPr>
            <w:tcW w:w="1751" w:type="dxa"/>
            <w:vAlign w:val="top"/>
          </w:tcPr>
          <w:p w14:paraId="76248BD1">
            <w:pPr>
              <w:rPr>
                <w:rFonts w:hint="eastAsia" w:asciiTheme="minorHAnsi" w:hAnsiTheme="minorHAnsi" w:eastAsiaTheme="minorEastAsia" w:cstheme="minorBidi"/>
                <w:kern w:val="2"/>
                <w:sz w:val="21"/>
                <w:szCs w:val="21"/>
                <w:lang w:val="en-US" w:eastAsia="zh-CN" w:bidi="ar-SA"/>
              </w:rPr>
            </w:pPr>
            <w:r>
              <w:rPr>
                <w:rFonts w:hint="eastAsia"/>
                <w:sz w:val="21"/>
                <w:szCs w:val="21"/>
                <w:lang w:val="en-US" w:eastAsia="zh-CN"/>
              </w:rPr>
              <w:t>校核</w:t>
            </w:r>
            <w:r>
              <w:rPr>
                <w:sz w:val="21"/>
                <w:szCs w:val="21"/>
              </w:rPr>
              <w:t>全文</w:t>
            </w:r>
          </w:p>
        </w:tc>
      </w:tr>
      <w:tr w14:paraId="5DF2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93DEA20">
            <w:pPr>
              <w:spacing w:line="360" w:lineRule="auto"/>
              <w:jc w:val="center"/>
              <w:rPr>
                <w:rFonts w:hint="eastAsia" w:ascii="宋体" w:hAnsi="宋体" w:eastAsiaTheme="minorEastAsia"/>
                <w:szCs w:val="21"/>
                <w:lang w:val="en-US" w:eastAsia="zh-CN"/>
              </w:rPr>
            </w:pPr>
            <w:r>
              <w:rPr>
                <w:rFonts w:hint="eastAsia" w:ascii="宋体" w:hAnsi="宋体"/>
                <w:szCs w:val="21"/>
                <w:lang w:val="en-US" w:eastAsia="zh-CN"/>
              </w:rPr>
              <w:t>5</w:t>
            </w:r>
          </w:p>
        </w:tc>
        <w:tc>
          <w:tcPr>
            <w:tcW w:w="1134" w:type="dxa"/>
            <w:vAlign w:val="top"/>
          </w:tcPr>
          <w:p w14:paraId="05DDC54A">
            <w:pPr>
              <w:rPr>
                <w:rFonts w:hint="eastAsia" w:asciiTheme="minorHAnsi" w:hAnsiTheme="minorHAnsi" w:eastAsiaTheme="minorEastAsia" w:cstheme="minorBidi"/>
                <w:kern w:val="2"/>
                <w:sz w:val="21"/>
                <w:szCs w:val="21"/>
                <w:lang w:val="en-US" w:eastAsia="zh-CN" w:bidi="ar-SA"/>
              </w:rPr>
            </w:pPr>
            <w:r>
              <w:rPr>
                <w:rFonts w:hint="eastAsia"/>
                <w:sz w:val="21"/>
                <w:szCs w:val="21"/>
              </w:rPr>
              <w:t>赵钢</w:t>
            </w:r>
          </w:p>
        </w:tc>
        <w:tc>
          <w:tcPr>
            <w:tcW w:w="2977" w:type="dxa"/>
            <w:vAlign w:val="top"/>
          </w:tcPr>
          <w:p w14:paraId="27B1A1F9">
            <w:pPr>
              <w:rPr>
                <w:rFonts w:asciiTheme="minorHAnsi" w:hAnsiTheme="minorHAnsi" w:eastAsiaTheme="minorEastAsia" w:cstheme="minorBidi"/>
                <w:kern w:val="2"/>
                <w:sz w:val="21"/>
                <w:szCs w:val="21"/>
                <w:lang w:val="en-US" w:eastAsia="zh-CN" w:bidi="ar-SA"/>
              </w:rPr>
            </w:pPr>
            <w:r>
              <w:rPr>
                <w:rFonts w:hint="eastAsia"/>
                <w:sz w:val="21"/>
                <w:szCs w:val="21"/>
              </w:rPr>
              <w:t>清华大学核能与新能源技术研究院</w:t>
            </w:r>
          </w:p>
        </w:tc>
        <w:tc>
          <w:tcPr>
            <w:tcW w:w="1843" w:type="dxa"/>
            <w:vAlign w:val="top"/>
          </w:tcPr>
          <w:p w14:paraId="23FC6CD6">
            <w:pPr>
              <w:rPr>
                <w:rFonts w:asciiTheme="minorHAnsi" w:hAnsiTheme="minorHAnsi" w:eastAsiaTheme="minorEastAsia" w:cstheme="minorBidi"/>
                <w:kern w:val="2"/>
                <w:sz w:val="21"/>
                <w:szCs w:val="21"/>
                <w:lang w:val="en-US" w:eastAsia="zh-CN" w:bidi="ar-SA"/>
              </w:rPr>
            </w:pPr>
            <w:r>
              <w:rPr>
                <w:rFonts w:hint="eastAsia"/>
                <w:sz w:val="21"/>
                <w:szCs w:val="21"/>
              </w:rPr>
              <w:t>研究员</w:t>
            </w:r>
          </w:p>
        </w:tc>
        <w:tc>
          <w:tcPr>
            <w:tcW w:w="1751" w:type="dxa"/>
            <w:vAlign w:val="top"/>
          </w:tcPr>
          <w:p w14:paraId="2BFE27AF">
            <w:pPr>
              <w:rPr>
                <w:rFonts w:asciiTheme="minorHAnsi" w:hAnsiTheme="minorHAnsi" w:eastAsiaTheme="minorEastAsia" w:cstheme="minorBidi"/>
                <w:kern w:val="2"/>
                <w:sz w:val="21"/>
                <w:szCs w:val="21"/>
                <w:lang w:val="en-US" w:eastAsia="zh-CN" w:bidi="ar-SA"/>
              </w:rPr>
            </w:pPr>
            <w:r>
              <w:rPr>
                <w:rFonts w:hint="eastAsia"/>
                <w:sz w:val="21"/>
                <w:szCs w:val="21"/>
              </w:rPr>
              <w:t>审核</w:t>
            </w:r>
            <w:r>
              <w:rPr>
                <w:sz w:val="21"/>
                <w:szCs w:val="21"/>
              </w:rPr>
              <w:t>全文</w:t>
            </w:r>
          </w:p>
        </w:tc>
      </w:tr>
      <w:tr w14:paraId="57EE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14CAA75">
            <w:pPr>
              <w:spacing w:line="360" w:lineRule="auto"/>
              <w:jc w:val="center"/>
              <w:rPr>
                <w:rFonts w:hint="eastAsia" w:ascii="宋体" w:hAnsi="宋体" w:eastAsiaTheme="minorEastAsia"/>
                <w:szCs w:val="21"/>
                <w:lang w:val="en-US" w:eastAsia="zh-CN"/>
              </w:rPr>
            </w:pPr>
            <w:r>
              <w:rPr>
                <w:rFonts w:hint="eastAsia" w:ascii="宋体" w:hAnsi="宋体"/>
                <w:szCs w:val="21"/>
                <w:lang w:val="en-US" w:eastAsia="zh-CN"/>
              </w:rPr>
              <w:t>6</w:t>
            </w:r>
          </w:p>
        </w:tc>
        <w:tc>
          <w:tcPr>
            <w:tcW w:w="1134" w:type="dxa"/>
            <w:vAlign w:val="top"/>
          </w:tcPr>
          <w:p w14:paraId="78A9DC63">
            <w:pPr>
              <w:rPr>
                <w:rFonts w:asciiTheme="minorHAnsi" w:hAnsiTheme="minorHAnsi" w:eastAsiaTheme="minorEastAsia" w:cstheme="minorBidi"/>
                <w:kern w:val="2"/>
                <w:sz w:val="21"/>
                <w:szCs w:val="21"/>
                <w:lang w:val="en-US" w:eastAsia="zh-CN" w:bidi="ar-SA"/>
              </w:rPr>
            </w:pPr>
            <w:r>
              <w:rPr>
                <w:rFonts w:hint="eastAsia"/>
                <w:sz w:val="21"/>
                <w:szCs w:val="21"/>
              </w:rPr>
              <w:t>张艳芝</w:t>
            </w:r>
          </w:p>
        </w:tc>
        <w:tc>
          <w:tcPr>
            <w:tcW w:w="2977" w:type="dxa"/>
            <w:vAlign w:val="top"/>
          </w:tcPr>
          <w:p w14:paraId="3237E037">
            <w:pPr>
              <w:rPr>
                <w:rFonts w:asciiTheme="minorHAnsi" w:hAnsiTheme="minorHAnsi" w:eastAsiaTheme="minorEastAsia" w:cstheme="minorBidi"/>
                <w:kern w:val="2"/>
                <w:sz w:val="21"/>
                <w:szCs w:val="21"/>
                <w:lang w:val="en-US" w:eastAsia="zh-CN" w:bidi="ar-SA"/>
              </w:rPr>
            </w:pPr>
            <w:r>
              <w:rPr>
                <w:rFonts w:hint="eastAsia"/>
                <w:sz w:val="21"/>
                <w:szCs w:val="21"/>
              </w:rPr>
              <w:t>中核能源科技有限公司</w:t>
            </w:r>
          </w:p>
        </w:tc>
        <w:tc>
          <w:tcPr>
            <w:tcW w:w="1843" w:type="dxa"/>
            <w:vAlign w:val="top"/>
          </w:tcPr>
          <w:p w14:paraId="7DCDA431">
            <w:pPr>
              <w:rPr>
                <w:rFonts w:asciiTheme="minorHAnsi" w:hAnsiTheme="minorHAnsi" w:eastAsiaTheme="minorEastAsia" w:cstheme="minorBidi"/>
                <w:kern w:val="2"/>
                <w:sz w:val="21"/>
                <w:szCs w:val="21"/>
                <w:lang w:val="en-US" w:eastAsia="zh-CN" w:bidi="ar-SA"/>
              </w:rPr>
            </w:pPr>
            <w:r>
              <w:rPr>
                <w:rFonts w:hint="eastAsia"/>
                <w:sz w:val="21"/>
                <w:szCs w:val="21"/>
              </w:rPr>
              <w:t>研高</w:t>
            </w:r>
          </w:p>
        </w:tc>
        <w:tc>
          <w:tcPr>
            <w:tcW w:w="1751" w:type="dxa"/>
            <w:vAlign w:val="top"/>
          </w:tcPr>
          <w:p w14:paraId="27CF2BF9">
            <w:pPr>
              <w:rPr>
                <w:rFonts w:asciiTheme="minorHAnsi" w:hAnsiTheme="minorHAnsi" w:eastAsiaTheme="minorEastAsia" w:cstheme="minorBidi"/>
                <w:kern w:val="2"/>
                <w:sz w:val="21"/>
                <w:szCs w:val="21"/>
                <w:lang w:val="en-US" w:eastAsia="zh-CN" w:bidi="ar-SA"/>
              </w:rPr>
            </w:pPr>
            <w:r>
              <w:rPr>
                <w:sz w:val="21"/>
                <w:szCs w:val="21"/>
              </w:rPr>
              <w:t>审定全文</w:t>
            </w:r>
          </w:p>
        </w:tc>
      </w:tr>
      <w:tr w14:paraId="32A2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6043A4A">
            <w:pPr>
              <w:spacing w:line="360" w:lineRule="auto"/>
              <w:jc w:val="center"/>
              <w:rPr>
                <w:rFonts w:hint="eastAsia" w:ascii="宋体" w:hAnsi="宋体" w:eastAsiaTheme="minorEastAsia"/>
                <w:szCs w:val="21"/>
                <w:lang w:val="en-US" w:eastAsia="zh-CN"/>
              </w:rPr>
            </w:pPr>
            <w:r>
              <w:rPr>
                <w:rFonts w:hint="eastAsia" w:ascii="宋体" w:hAnsi="宋体"/>
                <w:szCs w:val="21"/>
                <w:lang w:val="en-US" w:eastAsia="zh-CN"/>
              </w:rPr>
              <w:t>7</w:t>
            </w:r>
          </w:p>
        </w:tc>
        <w:tc>
          <w:tcPr>
            <w:tcW w:w="1134" w:type="dxa"/>
            <w:vAlign w:val="top"/>
          </w:tcPr>
          <w:p w14:paraId="3C941457">
            <w:pPr>
              <w:rPr>
                <w:rFonts w:hint="eastAsia" w:asciiTheme="minorHAnsi" w:hAnsiTheme="minorHAnsi" w:eastAsiaTheme="minorEastAsia" w:cstheme="minorBidi"/>
                <w:kern w:val="2"/>
                <w:sz w:val="21"/>
                <w:szCs w:val="21"/>
                <w:lang w:val="en-US" w:eastAsia="zh-CN" w:bidi="ar-SA"/>
              </w:rPr>
            </w:pPr>
            <w:r>
              <w:rPr>
                <w:rFonts w:hint="eastAsia"/>
                <w:sz w:val="21"/>
                <w:szCs w:val="21"/>
              </w:rPr>
              <w:t>尤明阳</w:t>
            </w:r>
          </w:p>
        </w:tc>
        <w:tc>
          <w:tcPr>
            <w:tcW w:w="2977" w:type="dxa"/>
            <w:vAlign w:val="top"/>
          </w:tcPr>
          <w:p w14:paraId="4F59EEBF">
            <w:pPr>
              <w:rPr>
                <w:rFonts w:hint="eastAsia" w:asciiTheme="minorHAnsi" w:hAnsiTheme="minorHAnsi" w:eastAsiaTheme="minorEastAsia" w:cstheme="minorBidi"/>
                <w:kern w:val="2"/>
                <w:sz w:val="21"/>
                <w:szCs w:val="21"/>
                <w:lang w:val="en-US" w:eastAsia="zh-CN" w:bidi="ar-SA"/>
              </w:rPr>
            </w:pPr>
            <w:r>
              <w:rPr>
                <w:rFonts w:hint="eastAsia"/>
                <w:sz w:val="21"/>
                <w:szCs w:val="21"/>
              </w:rPr>
              <w:t>中核能源科技有限公司</w:t>
            </w:r>
          </w:p>
        </w:tc>
        <w:tc>
          <w:tcPr>
            <w:tcW w:w="1843" w:type="dxa"/>
            <w:vAlign w:val="top"/>
          </w:tcPr>
          <w:p w14:paraId="09104578">
            <w:pPr>
              <w:rPr>
                <w:rFonts w:hint="eastAsia" w:asciiTheme="minorHAnsi" w:hAnsiTheme="minorHAnsi" w:eastAsiaTheme="minorEastAsia" w:cstheme="minorBidi"/>
                <w:kern w:val="2"/>
                <w:sz w:val="21"/>
                <w:szCs w:val="21"/>
                <w:lang w:val="en-US" w:eastAsia="zh-CN" w:bidi="ar-SA"/>
              </w:rPr>
            </w:pPr>
            <w:r>
              <w:rPr>
                <w:rFonts w:hint="eastAsia"/>
                <w:sz w:val="21"/>
                <w:szCs w:val="21"/>
              </w:rPr>
              <w:t>工程师</w:t>
            </w:r>
          </w:p>
        </w:tc>
        <w:tc>
          <w:tcPr>
            <w:tcW w:w="1751" w:type="dxa"/>
            <w:vAlign w:val="top"/>
          </w:tcPr>
          <w:p w14:paraId="4E6A332A">
            <w:pPr>
              <w:rPr>
                <w:rFonts w:asciiTheme="minorHAnsi" w:hAnsiTheme="minorHAnsi" w:eastAsiaTheme="minorEastAsia" w:cstheme="minorBidi"/>
                <w:kern w:val="2"/>
                <w:sz w:val="21"/>
                <w:szCs w:val="21"/>
                <w:lang w:val="en-US" w:eastAsia="zh-CN" w:bidi="ar-SA"/>
              </w:rPr>
            </w:pPr>
            <w:r>
              <w:rPr>
                <w:sz w:val="21"/>
                <w:szCs w:val="21"/>
              </w:rPr>
              <w:t>参与编制</w:t>
            </w:r>
          </w:p>
        </w:tc>
      </w:tr>
      <w:tr w14:paraId="7EEA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AB42B95">
            <w:pPr>
              <w:spacing w:line="360" w:lineRule="auto"/>
              <w:jc w:val="center"/>
              <w:rPr>
                <w:rFonts w:hint="eastAsia" w:ascii="宋体" w:hAnsi="宋体" w:eastAsiaTheme="minorEastAsia"/>
                <w:szCs w:val="21"/>
                <w:lang w:val="en-US" w:eastAsia="zh-CN"/>
              </w:rPr>
            </w:pPr>
            <w:r>
              <w:rPr>
                <w:rFonts w:hint="eastAsia" w:ascii="宋体" w:hAnsi="宋体"/>
                <w:szCs w:val="21"/>
                <w:lang w:val="en-US" w:eastAsia="zh-CN"/>
              </w:rPr>
              <w:t>8</w:t>
            </w:r>
          </w:p>
        </w:tc>
        <w:tc>
          <w:tcPr>
            <w:tcW w:w="1134" w:type="dxa"/>
            <w:vAlign w:val="top"/>
          </w:tcPr>
          <w:p w14:paraId="59F0F9A9">
            <w:pPr>
              <w:rPr>
                <w:rFonts w:hint="eastAsia" w:asciiTheme="minorHAnsi" w:hAnsiTheme="minorHAnsi" w:eastAsiaTheme="minorEastAsia" w:cstheme="minorBidi"/>
                <w:kern w:val="2"/>
                <w:sz w:val="21"/>
                <w:szCs w:val="21"/>
                <w:lang w:val="en-US" w:eastAsia="zh-CN" w:bidi="ar-SA"/>
              </w:rPr>
            </w:pPr>
            <w:r>
              <w:rPr>
                <w:rFonts w:hint="eastAsia"/>
                <w:sz w:val="21"/>
                <w:szCs w:val="21"/>
              </w:rPr>
              <w:t>孙振华</w:t>
            </w:r>
          </w:p>
        </w:tc>
        <w:tc>
          <w:tcPr>
            <w:tcW w:w="2977" w:type="dxa"/>
            <w:vAlign w:val="top"/>
          </w:tcPr>
          <w:p w14:paraId="7AAD8396">
            <w:pPr>
              <w:rPr>
                <w:rFonts w:hint="eastAsia" w:asciiTheme="minorHAnsi" w:hAnsiTheme="minorHAnsi" w:eastAsiaTheme="minorEastAsia" w:cstheme="minorBidi"/>
                <w:kern w:val="2"/>
                <w:sz w:val="21"/>
                <w:szCs w:val="21"/>
                <w:lang w:val="en-US" w:eastAsia="zh-CN" w:bidi="ar-SA"/>
              </w:rPr>
            </w:pPr>
            <w:r>
              <w:rPr>
                <w:rFonts w:hint="eastAsia"/>
                <w:sz w:val="21"/>
                <w:szCs w:val="21"/>
              </w:rPr>
              <w:t>中核能源科技有限公司</w:t>
            </w:r>
          </w:p>
        </w:tc>
        <w:tc>
          <w:tcPr>
            <w:tcW w:w="1843" w:type="dxa"/>
            <w:vAlign w:val="top"/>
          </w:tcPr>
          <w:p w14:paraId="5DD555E7">
            <w:pPr>
              <w:rPr>
                <w:rFonts w:hint="eastAsia" w:asciiTheme="minorHAnsi" w:hAnsiTheme="minorHAnsi" w:eastAsiaTheme="minorEastAsia" w:cstheme="minorBidi"/>
                <w:kern w:val="2"/>
                <w:sz w:val="21"/>
                <w:szCs w:val="21"/>
                <w:lang w:val="en-US" w:eastAsia="zh-CN" w:bidi="ar-SA"/>
              </w:rPr>
            </w:pPr>
            <w:r>
              <w:rPr>
                <w:rFonts w:hint="eastAsia"/>
                <w:sz w:val="21"/>
                <w:szCs w:val="21"/>
              </w:rPr>
              <w:t>工程师</w:t>
            </w:r>
          </w:p>
        </w:tc>
        <w:tc>
          <w:tcPr>
            <w:tcW w:w="1751" w:type="dxa"/>
            <w:vAlign w:val="top"/>
          </w:tcPr>
          <w:p w14:paraId="40374D59">
            <w:pPr>
              <w:rPr>
                <w:rFonts w:asciiTheme="minorHAnsi" w:hAnsiTheme="minorHAnsi" w:eastAsiaTheme="minorEastAsia" w:cstheme="minorBidi"/>
                <w:kern w:val="2"/>
                <w:sz w:val="21"/>
                <w:szCs w:val="21"/>
                <w:lang w:val="en-US" w:eastAsia="zh-CN" w:bidi="ar-SA"/>
              </w:rPr>
            </w:pPr>
            <w:r>
              <w:rPr>
                <w:sz w:val="21"/>
                <w:szCs w:val="21"/>
              </w:rPr>
              <w:t>参与编制</w:t>
            </w:r>
          </w:p>
        </w:tc>
      </w:tr>
      <w:tr w14:paraId="7C6D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7CCDC9B">
            <w:pPr>
              <w:spacing w:line="360" w:lineRule="auto"/>
              <w:jc w:val="center"/>
              <w:rPr>
                <w:rFonts w:hint="eastAsia" w:ascii="宋体" w:hAnsi="宋体" w:eastAsiaTheme="minorEastAsia"/>
                <w:szCs w:val="21"/>
                <w:lang w:val="en-US" w:eastAsia="zh-CN"/>
              </w:rPr>
            </w:pPr>
            <w:r>
              <w:rPr>
                <w:rFonts w:hint="eastAsia" w:ascii="宋体" w:hAnsi="宋体"/>
                <w:szCs w:val="21"/>
                <w:lang w:val="en-US" w:eastAsia="zh-CN"/>
              </w:rPr>
              <w:t>9</w:t>
            </w:r>
          </w:p>
        </w:tc>
        <w:tc>
          <w:tcPr>
            <w:tcW w:w="1134" w:type="dxa"/>
            <w:vAlign w:val="top"/>
          </w:tcPr>
          <w:p w14:paraId="1D84C6CE">
            <w:pPr>
              <w:rPr>
                <w:rFonts w:hint="eastAsia" w:asciiTheme="minorHAnsi" w:hAnsiTheme="minorHAnsi" w:eastAsiaTheme="minorEastAsia" w:cstheme="minorBidi"/>
                <w:kern w:val="2"/>
                <w:sz w:val="21"/>
                <w:szCs w:val="21"/>
                <w:lang w:val="en-US" w:eastAsia="zh-CN" w:bidi="ar-SA"/>
              </w:rPr>
            </w:pPr>
            <w:r>
              <w:rPr>
                <w:rFonts w:hint="eastAsia"/>
                <w:sz w:val="21"/>
                <w:szCs w:val="21"/>
              </w:rPr>
              <w:t>公宇峰</w:t>
            </w:r>
          </w:p>
        </w:tc>
        <w:tc>
          <w:tcPr>
            <w:tcW w:w="2977" w:type="dxa"/>
            <w:vAlign w:val="top"/>
          </w:tcPr>
          <w:p w14:paraId="5BC3EDA1">
            <w:pPr>
              <w:rPr>
                <w:rFonts w:hint="eastAsia" w:asciiTheme="minorHAnsi" w:hAnsiTheme="minorHAnsi" w:eastAsiaTheme="minorEastAsia" w:cstheme="minorBidi"/>
                <w:kern w:val="2"/>
                <w:sz w:val="21"/>
                <w:szCs w:val="21"/>
                <w:lang w:val="en-US" w:eastAsia="zh-CN" w:bidi="ar-SA"/>
              </w:rPr>
            </w:pPr>
            <w:r>
              <w:rPr>
                <w:rFonts w:hint="eastAsia"/>
                <w:sz w:val="21"/>
                <w:szCs w:val="21"/>
              </w:rPr>
              <w:t>中核能源科技有限公司</w:t>
            </w:r>
          </w:p>
        </w:tc>
        <w:tc>
          <w:tcPr>
            <w:tcW w:w="1843" w:type="dxa"/>
            <w:vAlign w:val="top"/>
          </w:tcPr>
          <w:p w14:paraId="478290D5">
            <w:pPr>
              <w:rPr>
                <w:rFonts w:hint="eastAsia" w:asciiTheme="minorHAnsi" w:hAnsiTheme="minorHAnsi" w:eastAsiaTheme="minorEastAsia" w:cstheme="minorBidi"/>
                <w:kern w:val="2"/>
                <w:sz w:val="21"/>
                <w:szCs w:val="21"/>
                <w:lang w:val="en-US" w:eastAsia="zh-CN" w:bidi="ar-SA"/>
              </w:rPr>
            </w:pPr>
            <w:r>
              <w:rPr>
                <w:rFonts w:hint="eastAsia"/>
                <w:sz w:val="21"/>
                <w:szCs w:val="21"/>
              </w:rPr>
              <w:t>助理工程师</w:t>
            </w:r>
          </w:p>
        </w:tc>
        <w:tc>
          <w:tcPr>
            <w:tcW w:w="1751" w:type="dxa"/>
            <w:vAlign w:val="top"/>
          </w:tcPr>
          <w:p w14:paraId="03C5F9ED">
            <w:pPr>
              <w:rPr>
                <w:rFonts w:asciiTheme="minorHAnsi" w:hAnsiTheme="minorHAnsi" w:eastAsiaTheme="minorEastAsia" w:cstheme="minorBidi"/>
                <w:kern w:val="2"/>
                <w:sz w:val="21"/>
                <w:szCs w:val="21"/>
                <w:lang w:val="en-US" w:eastAsia="zh-CN" w:bidi="ar-SA"/>
              </w:rPr>
            </w:pPr>
            <w:r>
              <w:rPr>
                <w:sz w:val="21"/>
                <w:szCs w:val="21"/>
              </w:rPr>
              <w:t>参与编制</w:t>
            </w:r>
          </w:p>
        </w:tc>
      </w:tr>
      <w:tr w14:paraId="1719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D280605">
            <w:pPr>
              <w:spacing w:line="360" w:lineRule="auto"/>
              <w:jc w:val="center"/>
              <w:rPr>
                <w:rFonts w:hint="default" w:ascii="宋体" w:hAnsi="宋体" w:eastAsiaTheme="minorEastAsia"/>
                <w:szCs w:val="21"/>
                <w:lang w:val="en-US" w:eastAsia="zh-CN"/>
              </w:rPr>
            </w:pPr>
            <w:r>
              <w:rPr>
                <w:rFonts w:hint="eastAsia" w:ascii="宋体" w:hAnsi="宋体"/>
                <w:szCs w:val="21"/>
                <w:lang w:val="en-US" w:eastAsia="zh-CN"/>
              </w:rPr>
              <w:t>10</w:t>
            </w:r>
          </w:p>
        </w:tc>
        <w:tc>
          <w:tcPr>
            <w:tcW w:w="1134" w:type="dxa"/>
            <w:vAlign w:val="top"/>
          </w:tcPr>
          <w:p w14:paraId="2AAD2BB1">
            <w:pPr>
              <w:rPr>
                <w:rFonts w:hint="eastAsia" w:asciiTheme="minorHAnsi" w:hAnsiTheme="minorHAnsi" w:eastAsiaTheme="minorEastAsia" w:cstheme="minorBidi"/>
                <w:kern w:val="2"/>
                <w:sz w:val="21"/>
                <w:szCs w:val="21"/>
                <w:lang w:val="en-US" w:eastAsia="zh-CN" w:bidi="ar-SA"/>
              </w:rPr>
            </w:pPr>
            <w:r>
              <w:rPr>
                <w:rFonts w:hint="eastAsia"/>
                <w:sz w:val="21"/>
                <w:szCs w:val="21"/>
              </w:rPr>
              <w:t>白新文</w:t>
            </w:r>
          </w:p>
        </w:tc>
        <w:tc>
          <w:tcPr>
            <w:tcW w:w="2977" w:type="dxa"/>
            <w:vAlign w:val="top"/>
          </w:tcPr>
          <w:p w14:paraId="38FDAE6D">
            <w:pPr>
              <w:rPr>
                <w:rFonts w:hint="eastAsia" w:asciiTheme="minorHAnsi" w:hAnsiTheme="minorHAnsi" w:eastAsiaTheme="minorEastAsia" w:cstheme="minorBidi"/>
                <w:kern w:val="2"/>
                <w:sz w:val="21"/>
                <w:szCs w:val="21"/>
                <w:lang w:val="en-US" w:eastAsia="zh-CN" w:bidi="ar-SA"/>
              </w:rPr>
            </w:pPr>
            <w:r>
              <w:rPr>
                <w:rFonts w:hint="eastAsia"/>
                <w:sz w:val="21"/>
                <w:szCs w:val="21"/>
              </w:rPr>
              <w:t>中核能源科技有限公司</w:t>
            </w:r>
          </w:p>
        </w:tc>
        <w:tc>
          <w:tcPr>
            <w:tcW w:w="1843" w:type="dxa"/>
            <w:vAlign w:val="top"/>
          </w:tcPr>
          <w:p w14:paraId="2E398951">
            <w:pPr>
              <w:rPr>
                <w:rFonts w:hint="eastAsia" w:asciiTheme="minorHAnsi" w:hAnsiTheme="minorHAnsi" w:eastAsiaTheme="minorEastAsia" w:cstheme="minorBidi"/>
                <w:kern w:val="2"/>
                <w:sz w:val="21"/>
                <w:szCs w:val="21"/>
                <w:lang w:val="en-US" w:eastAsia="zh-CN" w:bidi="ar-SA"/>
              </w:rPr>
            </w:pPr>
            <w:r>
              <w:rPr>
                <w:rFonts w:hint="eastAsia"/>
                <w:sz w:val="21"/>
                <w:szCs w:val="21"/>
              </w:rPr>
              <w:t>研高</w:t>
            </w:r>
          </w:p>
        </w:tc>
        <w:tc>
          <w:tcPr>
            <w:tcW w:w="1751" w:type="dxa"/>
            <w:vAlign w:val="top"/>
          </w:tcPr>
          <w:p w14:paraId="79C1462C">
            <w:pPr>
              <w:rPr>
                <w:rFonts w:asciiTheme="minorHAnsi" w:hAnsiTheme="minorHAnsi" w:eastAsiaTheme="minorEastAsia" w:cstheme="minorBidi"/>
                <w:kern w:val="2"/>
                <w:sz w:val="21"/>
                <w:szCs w:val="21"/>
                <w:lang w:val="en-US" w:eastAsia="zh-CN" w:bidi="ar-SA"/>
              </w:rPr>
            </w:pPr>
            <w:r>
              <w:rPr>
                <w:sz w:val="21"/>
                <w:szCs w:val="21"/>
              </w:rPr>
              <w:t>参与编制</w:t>
            </w:r>
          </w:p>
        </w:tc>
      </w:tr>
      <w:tr w14:paraId="05C5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910E5F4">
            <w:pPr>
              <w:spacing w:line="360" w:lineRule="auto"/>
              <w:jc w:val="center"/>
              <w:rPr>
                <w:rFonts w:hint="default" w:ascii="宋体" w:hAnsi="宋体" w:eastAsiaTheme="minorEastAsia"/>
                <w:szCs w:val="21"/>
                <w:lang w:val="en-US" w:eastAsia="zh-CN"/>
              </w:rPr>
            </w:pPr>
            <w:r>
              <w:rPr>
                <w:rFonts w:hint="eastAsia" w:ascii="宋体" w:hAnsi="宋体"/>
                <w:szCs w:val="21"/>
                <w:lang w:val="en-US" w:eastAsia="zh-CN"/>
              </w:rPr>
              <w:t>11</w:t>
            </w:r>
          </w:p>
        </w:tc>
        <w:tc>
          <w:tcPr>
            <w:tcW w:w="1134" w:type="dxa"/>
            <w:vAlign w:val="top"/>
          </w:tcPr>
          <w:p w14:paraId="24C46E7F">
            <w:pPr>
              <w:rPr>
                <w:rFonts w:hint="eastAsia" w:asciiTheme="minorHAnsi" w:hAnsiTheme="minorHAnsi" w:eastAsiaTheme="minorEastAsia" w:cstheme="minorBidi"/>
                <w:kern w:val="2"/>
                <w:sz w:val="21"/>
                <w:szCs w:val="21"/>
                <w:lang w:val="en-US" w:eastAsia="zh-CN" w:bidi="ar-SA"/>
              </w:rPr>
            </w:pPr>
            <w:r>
              <w:rPr>
                <w:rFonts w:hint="eastAsia"/>
                <w:sz w:val="21"/>
                <w:szCs w:val="21"/>
              </w:rPr>
              <w:t>王英琳</w:t>
            </w:r>
          </w:p>
        </w:tc>
        <w:tc>
          <w:tcPr>
            <w:tcW w:w="2977" w:type="dxa"/>
            <w:vAlign w:val="top"/>
          </w:tcPr>
          <w:p w14:paraId="1F20C3D9">
            <w:pPr>
              <w:rPr>
                <w:rFonts w:asciiTheme="minorHAnsi" w:hAnsiTheme="minorHAnsi" w:eastAsiaTheme="minorEastAsia" w:cstheme="minorBidi"/>
                <w:kern w:val="2"/>
                <w:sz w:val="21"/>
                <w:szCs w:val="21"/>
                <w:lang w:val="en-US" w:eastAsia="zh-CN" w:bidi="ar-SA"/>
              </w:rPr>
            </w:pPr>
            <w:r>
              <w:rPr>
                <w:rFonts w:hint="eastAsia"/>
                <w:sz w:val="21"/>
                <w:szCs w:val="21"/>
              </w:rPr>
              <w:t>中核能源科技有限公司</w:t>
            </w:r>
          </w:p>
        </w:tc>
        <w:tc>
          <w:tcPr>
            <w:tcW w:w="1843" w:type="dxa"/>
            <w:vAlign w:val="top"/>
          </w:tcPr>
          <w:p w14:paraId="7832A176">
            <w:pPr>
              <w:rPr>
                <w:rFonts w:hint="eastAsia" w:asciiTheme="minorHAnsi" w:hAnsiTheme="minorHAnsi" w:eastAsiaTheme="minorEastAsia" w:cstheme="minorBidi"/>
                <w:kern w:val="2"/>
                <w:sz w:val="21"/>
                <w:szCs w:val="21"/>
                <w:lang w:val="en-US" w:eastAsia="zh-CN" w:bidi="ar-SA"/>
              </w:rPr>
            </w:pPr>
            <w:r>
              <w:rPr>
                <w:rFonts w:hint="eastAsia"/>
                <w:sz w:val="21"/>
                <w:szCs w:val="21"/>
              </w:rPr>
              <w:t>工程师</w:t>
            </w:r>
          </w:p>
        </w:tc>
        <w:tc>
          <w:tcPr>
            <w:tcW w:w="1751" w:type="dxa"/>
            <w:vAlign w:val="top"/>
          </w:tcPr>
          <w:p w14:paraId="3A2196B0">
            <w:pPr>
              <w:rPr>
                <w:rFonts w:asciiTheme="minorHAnsi" w:hAnsiTheme="minorHAnsi" w:eastAsiaTheme="minorEastAsia" w:cstheme="minorBidi"/>
                <w:kern w:val="2"/>
                <w:sz w:val="21"/>
                <w:szCs w:val="21"/>
                <w:lang w:val="en-US" w:eastAsia="zh-CN" w:bidi="ar-SA"/>
              </w:rPr>
            </w:pPr>
            <w:r>
              <w:rPr>
                <w:sz w:val="21"/>
                <w:szCs w:val="21"/>
              </w:rPr>
              <w:t>参与编制</w:t>
            </w:r>
          </w:p>
        </w:tc>
      </w:tr>
    </w:tbl>
    <w:p w14:paraId="41C02847">
      <w:pPr>
        <w:numPr>
          <w:ilvl w:val="0"/>
          <w:numId w:val="1"/>
        </w:numPr>
        <w:spacing w:before="240" w:after="240" w:line="360" w:lineRule="auto"/>
        <w:rPr>
          <w:rFonts w:ascii="黑体" w:eastAsia="黑体"/>
          <w:sz w:val="28"/>
          <w:szCs w:val="28"/>
        </w:rPr>
      </w:pPr>
      <w:r>
        <w:rPr>
          <w:rFonts w:hint="eastAsia" w:ascii="黑体" w:eastAsia="黑体"/>
          <w:sz w:val="28"/>
          <w:szCs w:val="28"/>
          <w:lang w:val="en-US" w:eastAsia="zh-CN"/>
        </w:rPr>
        <w:t>编制</w:t>
      </w:r>
      <w:r>
        <w:rPr>
          <w:rFonts w:hint="eastAsia" w:ascii="黑体" w:eastAsia="黑体"/>
          <w:sz w:val="28"/>
          <w:szCs w:val="28"/>
        </w:rPr>
        <w:t>过程</w:t>
      </w:r>
    </w:p>
    <w:p w14:paraId="43DD1EC2">
      <w:pPr>
        <w:pStyle w:val="26"/>
        <w:spacing w:after="0" w:line="360" w:lineRule="auto"/>
        <w:ind w:firstLine="480" w:firstLineChars="200"/>
        <w:jc w:val="both"/>
      </w:pPr>
      <w:r>
        <w:rPr>
          <w:rFonts w:hint="eastAsia"/>
        </w:rPr>
        <w:t>本标准的起草过程主要分为前期准备、征求意见稿编制、送审稿编制、报批稿编制阶段。</w:t>
      </w:r>
    </w:p>
    <w:p w14:paraId="6744FE5F">
      <w:pPr>
        <w:spacing w:before="240" w:line="360" w:lineRule="auto"/>
        <w:rPr>
          <w:rFonts w:ascii="黑体" w:hAnsi="黑体" w:eastAsia="黑体"/>
          <w:kern w:val="0"/>
          <w:sz w:val="24"/>
        </w:rPr>
      </w:pPr>
      <w:r>
        <w:rPr>
          <w:rFonts w:hint="eastAsia" w:ascii="黑体" w:hAnsi="黑体" w:eastAsia="黑体"/>
          <w:kern w:val="0"/>
          <w:sz w:val="24"/>
        </w:rPr>
        <w:t>3.1 前期准备（20</w:t>
      </w:r>
      <w:r>
        <w:rPr>
          <w:rFonts w:hint="eastAsia" w:ascii="黑体" w:hAnsi="黑体" w:eastAsia="黑体"/>
          <w:kern w:val="0"/>
          <w:sz w:val="24"/>
          <w:lang w:val="en-US" w:eastAsia="zh-CN"/>
        </w:rPr>
        <w:t>26</w:t>
      </w:r>
      <w:r>
        <w:rPr>
          <w:rFonts w:hint="eastAsia" w:ascii="黑体" w:hAnsi="黑体" w:eastAsia="黑体"/>
          <w:kern w:val="0"/>
          <w:sz w:val="24"/>
        </w:rPr>
        <w:t>年</w:t>
      </w:r>
      <w:r>
        <w:rPr>
          <w:rFonts w:hint="eastAsia" w:ascii="黑体" w:hAnsi="黑体" w:eastAsia="黑体"/>
          <w:kern w:val="0"/>
          <w:sz w:val="24"/>
          <w:lang w:val="en-US" w:eastAsia="zh-CN"/>
        </w:rPr>
        <w:t>01</w:t>
      </w:r>
      <w:r>
        <w:rPr>
          <w:rFonts w:hint="eastAsia" w:ascii="黑体" w:hAnsi="黑体" w:eastAsia="黑体"/>
          <w:kern w:val="0"/>
          <w:sz w:val="24"/>
        </w:rPr>
        <w:t>月-20</w:t>
      </w:r>
      <w:r>
        <w:rPr>
          <w:rFonts w:hint="eastAsia" w:ascii="黑体" w:hAnsi="黑体" w:eastAsia="黑体"/>
          <w:kern w:val="0"/>
          <w:sz w:val="24"/>
          <w:lang w:val="en-US" w:eastAsia="zh-CN"/>
        </w:rPr>
        <w:t>26</w:t>
      </w:r>
      <w:r>
        <w:rPr>
          <w:rFonts w:hint="eastAsia" w:ascii="黑体" w:hAnsi="黑体" w:eastAsia="黑体"/>
          <w:kern w:val="0"/>
          <w:sz w:val="24"/>
        </w:rPr>
        <w:t>年</w:t>
      </w:r>
      <w:r>
        <w:rPr>
          <w:rFonts w:hint="eastAsia" w:ascii="黑体" w:hAnsi="黑体" w:eastAsia="黑体"/>
          <w:kern w:val="0"/>
          <w:sz w:val="24"/>
          <w:lang w:val="en-US" w:eastAsia="zh-CN"/>
        </w:rPr>
        <w:t>02</w:t>
      </w:r>
      <w:r>
        <w:rPr>
          <w:rFonts w:hint="eastAsia" w:ascii="黑体" w:hAnsi="黑体" w:eastAsia="黑体"/>
          <w:kern w:val="0"/>
          <w:sz w:val="24"/>
        </w:rPr>
        <w:t>月）</w:t>
      </w:r>
    </w:p>
    <w:p w14:paraId="01C9D435">
      <w:pPr>
        <w:spacing w:line="360" w:lineRule="auto"/>
        <w:ind w:firstLine="480" w:firstLineChars="200"/>
        <w:rPr>
          <w:rFonts w:ascii="宋体" w:hAnsi="宋体"/>
          <w:kern w:val="0"/>
          <w:sz w:val="24"/>
        </w:rPr>
      </w:pPr>
      <w:r>
        <w:rPr>
          <w:rFonts w:hint="eastAsia" w:ascii="宋体" w:hAnsi="宋体"/>
          <w:kern w:val="0"/>
          <w:sz w:val="24"/>
        </w:rPr>
        <w:t>前期准备阶段主要任务是成立</w:t>
      </w:r>
      <w:r>
        <w:rPr>
          <w:rFonts w:hint="eastAsia" w:ascii="宋体" w:hAnsi="宋体"/>
          <w:kern w:val="0"/>
          <w:sz w:val="24"/>
          <w:lang w:val="zh-CN"/>
        </w:rPr>
        <w:t>起草工作</w:t>
      </w:r>
      <w:r>
        <w:rPr>
          <w:rFonts w:hint="eastAsia" w:ascii="宋体" w:hAnsi="宋体"/>
          <w:sz w:val="24"/>
        </w:rPr>
        <w:t>组</w:t>
      </w:r>
      <w:r>
        <w:rPr>
          <w:rFonts w:hint="eastAsia" w:ascii="宋体" w:hAnsi="宋体"/>
          <w:kern w:val="0"/>
          <w:sz w:val="24"/>
        </w:rPr>
        <w:t>、分解工作任务、明确编制进度、收集了核安全法规、核安全导则、能源标准（NB）、中国核学会发布的团体标准和ASME有关标准相关资料，对上述所有标准进行了研究和分析，确立编制标准的技术内容。</w:t>
      </w:r>
    </w:p>
    <w:p w14:paraId="62560F8C">
      <w:pPr>
        <w:spacing w:line="360" w:lineRule="auto"/>
        <w:ind w:firstLine="480" w:firstLineChars="200"/>
        <w:rPr>
          <w:rFonts w:ascii="宋体" w:hAnsi="宋体"/>
          <w:color w:val="auto"/>
          <w:kern w:val="0"/>
          <w:sz w:val="24"/>
        </w:rPr>
      </w:pPr>
      <w:r>
        <w:rPr>
          <w:rFonts w:hint="eastAsia" w:ascii="宋体" w:hAnsi="宋体"/>
          <w:color w:val="auto"/>
          <w:kern w:val="0"/>
          <w:sz w:val="24"/>
        </w:rPr>
        <w:t>核工业标准化研究所于202</w:t>
      </w:r>
      <w:r>
        <w:rPr>
          <w:rFonts w:ascii="宋体" w:hAnsi="宋体"/>
          <w:color w:val="auto"/>
          <w:kern w:val="0"/>
          <w:sz w:val="24"/>
        </w:rPr>
        <w:t>6</w:t>
      </w:r>
      <w:r>
        <w:rPr>
          <w:rFonts w:hint="eastAsia" w:ascii="宋体" w:hAnsi="宋体"/>
          <w:color w:val="auto"/>
          <w:kern w:val="0"/>
          <w:sz w:val="24"/>
        </w:rPr>
        <w:t>年</w:t>
      </w:r>
      <w:r>
        <w:rPr>
          <w:rFonts w:ascii="宋体" w:hAnsi="宋体"/>
          <w:color w:val="auto"/>
          <w:kern w:val="0"/>
          <w:sz w:val="24"/>
        </w:rPr>
        <w:t>2</w:t>
      </w:r>
      <w:r>
        <w:rPr>
          <w:rFonts w:hint="eastAsia" w:ascii="宋体" w:hAnsi="宋体"/>
          <w:color w:val="auto"/>
          <w:kern w:val="0"/>
          <w:sz w:val="24"/>
        </w:rPr>
        <w:t>月</w:t>
      </w:r>
      <w:r>
        <w:rPr>
          <w:rFonts w:ascii="宋体" w:hAnsi="宋体"/>
          <w:color w:val="auto"/>
          <w:kern w:val="0"/>
          <w:sz w:val="24"/>
        </w:rPr>
        <w:t>5</w:t>
      </w:r>
      <w:r>
        <w:rPr>
          <w:rFonts w:hint="eastAsia" w:ascii="宋体" w:hAnsi="宋体"/>
          <w:color w:val="auto"/>
          <w:kern w:val="0"/>
          <w:sz w:val="24"/>
        </w:rPr>
        <w:t>日于北京组织有关单位专家和代表召开了立项把关审查会，共有来自生态环境部核与辐射安全中心、中国核电工程有限公司等</w:t>
      </w:r>
      <w:r>
        <w:rPr>
          <w:rFonts w:ascii="宋体" w:hAnsi="宋体"/>
          <w:color w:val="auto"/>
          <w:kern w:val="0"/>
          <w:sz w:val="24"/>
        </w:rPr>
        <w:t>14</w:t>
      </w:r>
      <w:r>
        <w:rPr>
          <w:rFonts w:hint="eastAsia" w:ascii="宋体" w:hAnsi="宋体"/>
          <w:color w:val="auto"/>
          <w:kern w:val="0"/>
          <w:sz w:val="24"/>
        </w:rPr>
        <w:t>位评审专家参会，与会专家听取了编制组对标准编制背景情况的汇报，经过对标准内容深入讨论，对标准技术内容无实质性分歧意见，建议该标准立项，并提出部分修改意见。会后编制组对建议书和标准草案进行了修改。</w:t>
      </w:r>
    </w:p>
    <w:p w14:paraId="66F52C42">
      <w:pPr>
        <w:spacing w:before="240" w:line="360" w:lineRule="auto"/>
        <w:rPr>
          <w:rFonts w:ascii="黑体" w:hAnsi="黑体" w:eastAsia="黑体"/>
          <w:color w:val="auto"/>
          <w:kern w:val="0"/>
          <w:sz w:val="24"/>
        </w:rPr>
      </w:pPr>
      <w:r>
        <w:rPr>
          <w:rFonts w:hint="eastAsia" w:ascii="黑体" w:hAnsi="黑体" w:eastAsia="黑体"/>
          <w:color w:val="auto"/>
          <w:kern w:val="0"/>
          <w:sz w:val="24"/>
        </w:rPr>
        <w:t>3.2 征求意见稿编制（20</w:t>
      </w:r>
      <w:r>
        <w:rPr>
          <w:rFonts w:hint="eastAsia" w:ascii="黑体" w:hAnsi="黑体" w:eastAsia="黑体"/>
          <w:color w:val="auto"/>
          <w:kern w:val="0"/>
          <w:sz w:val="24"/>
          <w:lang w:val="en-US" w:eastAsia="zh-CN"/>
        </w:rPr>
        <w:t>26</w:t>
      </w:r>
      <w:r>
        <w:rPr>
          <w:rFonts w:hint="eastAsia" w:ascii="黑体" w:hAnsi="黑体" w:eastAsia="黑体"/>
          <w:color w:val="auto"/>
          <w:kern w:val="0"/>
          <w:sz w:val="24"/>
        </w:rPr>
        <w:t>年</w:t>
      </w:r>
      <w:r>
        <w:rPr>
          <w:rFonts w:hint="eastAsia" w:ascii="黑体" w:hAnsi="黑体" w:eastAsia="黑体"/>
          <w:color w:val="auto"/>
          <w:kern w:val="0"/>
          <w:sz w:val="24"/>
          <w:lang w:val="en-US" w:eastAsia="zh-CN"/>
        </w:rPr>
        <w:t>3</w:t>
      </w:r>
      <w:r>
        <w:rPr>
          <w:rFonts w:hint="eastAsia" w:ascii="黑体" w:hAnsi="黑体" w:eastAsia="黑体"/>
          <w:color w:val="auto"/>
          <w:kern w:val="0"/>
          <w:sz w:val="24"/>
        </w:rPr>
        <w:t>月-20</w:t>
      </w:r>
      <w:r>
        <w:rPr>
          <w:rFonts w:hint="eastAsia" w:ascii="黑体" w:hAnsi="黑体" w:eastAsia="黑体"/>
          <w:color w:val="auto"/>
          <w:kern w:val="0"/>
          <w:sz w:val="24"/>
          <w:lang w:val="en-US" w:eastAsia="zh-CN"/>
        </w:rPr>
        <w:t>26</w:t>
      </w:r>
      <w:r>
        <w:rPr>
          <w:rFonts w:hint="eastAsia" w:ascii="黑体" w:hAnsi="黑体" w:eastAsia="黑体"/>
          <w:color w:val="auto"/>
          <w:kern w:val="0"/>
          <w:sz w:val="24"/>
        </w:rPr>
        <w:t>年</w:t>
      </w:r>
      <w:r>
        <w:rPr>
          <w:rFonts w:hint="eastAsia" w:ascii="黑体" w:hAnsi="黑体" w:eastAsia="黑体"/>
          <w:color w:val="auto"/>
          <w:kern w:val="0"/>
          <w:sz w:val="24"/>
          <w:lang w:val="en-US" w:eastAsia="zh-CN"/>
        </w:rPr>
        <w:t>7</w:t>
      </w:r>
      <w:r>
        <w:rPr>
          <w:rFonts w:hint="eastAsia" w:ascii="黑体" w:hAnsi="黑体" w:eastAsia="黑体"/>
          <w:color w:val="auto"/>
          <w:kern w:val="0"/>
          <w:sz w:val="24"/>
        </w:rPr>
        <w:t>月）</w:t>
      </w:r>
    </w:p>
    <w:p w14:paraId="42D60BDE">
      <w:pPr>
        <w:spacing w:line="360" w:lineRule="auto"/>
        <w:ind w:firstLine="480" w:firstLineChars="200"/>
        <w:rPr>
          <w:color w:val="auto"/>
          <w:sz w:val="24"/>
        </w:rPr>
      </w:pPr>
      <w:r>
        <w:rPr>
          <w:rFonts w:hint="eastAsia"/>
          <w:color w:val="auto"/>
          <w:sz w:val="24"/>
        </w:rPr>
        <w:t>在具体章节编写过程中，对于标准内容的定位和合理安排问题，起草工作组内部进行多次反复讨论和修改，最终形成本标准征求意见稿。标准征求意见稿编制期间主要工作如下：</w:t>
      </w:r>
    </w:p>
    <w:p w14:paraId="49D8EDBD">
      <w:pPr>
        <w:spacing w:line="360" w:lineRule="auto"/>
        <w:ind w:firstLine="480" w:firstLineChars="200"/>
        <w:rPr>
          <w:rFonts w:hint="eastAsia"/>
          <w:color w:val="auto"/>
          <w:sz w:val="24"/>
        </w:rPr>
      </w:pPr>
      <w:r>
        <w:rPr>
          <w:rFonts w:hint="eastAsia"/>
          <w:color w:val="auto"/>
          <w:sz w:val="24"/>
        </w:rPr>
        <w:t>2026年</w:t>
      </w:r>
      <w:r>
        <w:rPr>
          <w:color w:val="auto"/>
          <w:sz w:val="24"/>
        </w:rPr>
        <w:t>5</w:t>
      </w:r>
      <w:r>
        <w:rPr>
          <w:rFonts w:hint="eastAsia"/>
          <w:color w:val="auto"/>
          <w:sz w:val="24"/>
        </w:rPr>
        <w:t>月</w:t>
      </w:r>
      <w:r>
        <w:rPr>
          <w:color w:val="auto"/>
          <w:sz w:val="24"/>
        </w:rPr>
        <w:t>30</w:t>
      </w:r>
      <w:r>
        <w:rPr>
          <w:rFonts w:hint="eastAsia"/>
          <w:color w:val="auto"/>
          <w:sz w:val="24"/>
        </w:rPr>
        <w:t>日完成修改，形成征求意见稿。2026年</w:t>
      </w:r>
      <w:r>
        <w:rPr>
          <w:color w:val="auto"/>
          <w:sz w:val="24"/>
        </w:rPr>
        <w:t>6</w:t>
      </w:r>
      <w:r>
        <w:rPr>
          <w:rFonts w:hint="eastAsia"/>
          <w:color w:val="auto"/>
          <w:sz w:val="24"/>
        </w:rPr>
        <w:t>月中旬，标准征求意见稿完成后，报送标准化所。2026年</w:t>
      </w:r>
      <w:r>
        <w:rPr>
          <w:color w:val="auto"/>
          <w:sz w:val="24"/>
        </w:rPr>
        <w:t>6</w:t>
      </w:r>
      <w:r>
        <w:rPr>
          <w:rFonts w:hint="eastAsia"/>
          <w:color w:val="auto"/>
          <w:sz w:val="24"/>
        </w:rPr>
        <w:t>月2</w:t>
      </w:r>
      <w:r>
        <w:rPr>
          <w:color w:val="auto"/>
          <w:sz w:val="24"/>
        </w:rPr>
        <w:t>6日</w:t>
      </w:r>
      <w:r>
        <w:rPr>
          <w:rFonts w:hint="eastAsia"/>
          <w:color w:val="auto"/>
          <w:sz w:val="24"/>
        </w:rPr>
        <w:t>，</w:t>
      </w:r>
      <w:r>
        <w:rPr>
          <w:rFonts w:hint="eastAsia" w:ascii="宋体" w:hAnsi="宋体"/>
          <w:color w:val="auto"/>
          <w:kern w:val="0"/>
          <w:sz w:val="24"/>
          <w:lang w:val="zh-CN"/>
        </w:rPr>
        <w:t>起草工作组</w:t>
      </w:r>
      <w:r>
        <w:rPr>
          <w:rFonts w:hint="eastAsia"/>
          <w:color w:val="auto"/>
          <w:sz w:val="24"/>
        </w:rPr>
        <w:t>收到标准化所的意见反馈。</w:t>
      </w:r>
      <w:r>
        <w:rPr>
          <w:rFonts w:hint="eastAsia" w:ascii="宋体" w:hAnsi="宋体"/>
          <w:color w:val="auto"/>
          <w:kern w:val="0"/>
          <w:sz w:val="24"/>
          <w:lang w:val="zh-CN"/>
        </w:rPr>
        <w:t>起草工作组</w:t>
      </w:r>
      <w:r>
        <w:rPr>
          <w:rFonts w:hint="eastAsia"/>
          <w:color w:val="auto"/>
          <w:sz w:val="24"/>
        </w:rPr>
        <w:t>根据反馈意见，对标准征求意见稿进行了格式和内容方面的修改和完善。在此基础上形成征求意见稿，于2026年7月5日将征求意见材料提交至核工业标准化研究所。</w:t>
      </w:r>
    </w:p>
    <w:p w14:paraId="0379B88A">
      <w:pPr>
        <w:numPr>
          <w:ilvl w:val="0"/>
          <w:numId w:val="1"/>
        </w:numPr>
        <w:spacing w:before="240" w:after="240" w:line="360" w:lineRule="auto"/>
        <w:rPr>
          <w:rFonts w:ascii="黑体" w:hAnsi="黑体" w:eastAsia="黑体"/>
          <w:kern w:val="0"/>
          <w:sz w:val="24"/>
        </w:rPr>
      </w:pPr>
      <w:r>
        <w:rPr>
          <w:rFonts w:hint="eastAsia" w:ascii="黑体" w:eastAsia="黑体"/>
          <w:sz w:val="28"/>
          <w:szCs w:val="28"/>
          <w:lang w:val="en-US" w:eastAsia="zh-CN"/>
        </w:rPr>
        <w:t>标准编写原则和主要内容</w:t>
      </w:r>
      <w:bookmarkStart w:id="0" w:name="_Toc361734314"/>
    </w:p>
    <w:bookmarkEnd w:id="0"/>
    <w:p w14:paraId="089B1BE6">
      <w:pPr>
        <w:spacing w:before="240" w:line="360" w:lineRule="auto"/>
        <w:rPr>
          <w:rFonts w:ascii="黑体" w:hAnsi="黑体" w:eastAsia="黑体"/>
          <w:kern w:val="0"/>
          <w:sz w:val="24"/>
        </w:rPr>
      </w:pPr>
      <w:bookmarkStart w:id="1" w:name="_Toc361669937"/>
      <w:bookmarkEnd w:id="1"/>
      <w:bookmarkStart w:id="2" w:name="_Toc361734315"/>
      <w:r>
        <w:rPr>
          <w:rFonts w:hint="eastAsia" w:ascii="黑体" w:hAnsi="黑体" w:eastAsia="黑体"/>
          <w:kern w:val="0"/>
          <w:sz w:val="24"/>
        </w:rPr>
        <w:t>4.</w:t>
      </w:r>
      <w:r>
        <w:rPr>
          <w:rFonts w:hint="eastAsia" w:ascii="黑体" w:hAnsi="黑体" w:eastAsia="黑体"/>
          <w:kern w:val="0"/>
          <w:sz w:val="24"/>
          <w:lang w:val="en-US" w:eastAsia="zh-CN"/>
        </w:rPr>
        <w:t>1</w:t>
      </w:r>
      <w:r>
        <w:rPr>
          <w:rFonts w:hint="eastAsia" w:ascii="黑体" w:hAnsi="黑体" w:eastAsia="黑体"/>
          <w:kern w:val="0"/>
          <w:sz w:val="24"/>
        </w:rPr>
        <w:t xml:space="preserve"> 起草原则</w:t>
      </w:r>
      <w:bookmarkEnd w:id="2"/>
    </w:p>
    <w:p w14:paraId="6F5CB293">
      <w:pPr>
        <w:spacing w:line="360" w:lineRule="auto"/>
        <w:ind w:firstLine="480"/>
        <w:rPr>
          <w:rFonts w:hint="eastAsia" w:asciiTheme="majorEastAsia" w:hAnsiTheme="majorEastAsia" w:eastAsiaTheme="majorEastAsia"/>
          <w:sz w:val="24"/>
          <w:szCs w:val="28"/>
          <w:lang w:val="de-DE"/>
        </w:rPr>
      </w:pPr>
      <w:r>
        <w:rPr>
          <w:rFonts w:hint="eastAsia" w:asciiTheme="minorEastAsia" w:hAnsiTheme="minorEastAsia"/>
          <w:sz w:val="24"/>
          <w:szCs w:val="28"/>
          <w:lang w:val="de-DE"/>
        </w:rPr>
        <w:t>本标准的起草严格遵照国家核安全技术法规导则，并与现行相关国家标准、行业标准保持协调一致。本标准</w:t>
      </w:r>
      <w:r>
        <w:rPr>
          <w:rFonts w:hint="eastAsia" w:asciiTheme="majorEastAsia" w:hAnsiTheme="majorEastAsia" w:eastAsiaTheme="majorEastAsia"/>
          <w:sz w:val="24"/>
          <w:szCs w:val="28"/>
          <w:lang w:val="de-DE"/>
        </w:rPr>
        <w:t xml:space="preserve">按照GB/T 1.1—2020《标准化工作导则 </w:t>
      </w:r>
      <w:r>
        <w:rPr>
          <w:rFonts w:asciiTheme="majorEastAsia" w:hAnsiTheme="majorEastAsia" w:eastAsiaTheme="majorEastAsia"/>
          <w:sz w:val="24"/>
          <w:szCs w:val="28"/>
          <w:lang w:val="de-DE"/>
        </w:rPr>
        <w:t xml:space="preserve"> </w:t>
      </w:r>
      <w:r>
        <w:rPr>
          <w:rFonts w:hint="eastAsia" w:asciiTheme="majorEastAsia" w:hAnsiTheme="majorEastAsia" w:eastAsiaTheme="majorEastAsia"/>
          <w:sz w:val="24"/>
          <w:szCs w:val="28"/>
          <w:lang w:val="de-DE"/>
        </w:rPr>
        <w:t>第1部分：标准化文件的结构和起草规则》</w:t>
      </w:r>
      <w:bookmarkStart w:id="3" w:name="_GoBack"/>
      <w:bookmarkEnd w:id="3"/>
      <w:r>
        <w:rPr>
          <w:rFonts w:hint="eastAsia" w:asciiTheme="majorEastAsia" w:hAnsiTheme="majorEastAsia" w:eastAsiaTheme="majorEastAsia"/>
          <w:sz w:val="24"/>
          <w:szCs w:val="28"/>
          <w:lang w:val="de-DE"/>
        </w:rPr>
        <w:t>的规定起草。</w:t>
      </w:r>
    </w:p>
    <w:p w14:paraId="340E2B77">
      <w:pPr>
        <w:spacing w:before="240" w:line="360" w:lineRule="auto"/>
        <w:rPr>
          <w:rFonts w:hint="eastAsia" w:ascii="黑体" w:hAnsi="黑体" w:eastAsia="黑体"/>
          <w:kern w:val="0"/>
          <w:sz w:val="24"/>
          <w:lang w:val="en-US" w:eastAsia="zh-CN"/>
        </w:rPr>
      </w:pPr>
      <w:r>
        <w:rPr>
          <w:rFonts w:hint="eastAsia" w:ascii="黑体" w:hAnsi="黑体" w:eastAsia="黑体"/>
          <w:kern w:val="0"/>
          <w:sz w:val="24"/>
          <w:lang w:val="en-US" w:eastAsia="zh-CN"/>
        </w:rPr>
        <w:t>4.2主要内容</w:t>
      </w:r>
    </w:p>
    <w:p w14:paraId="000FC34D">
      <w:pPr>
        <w:spacing w:before="240" w:line="360" w:lineRule="auto"/>
        <w:ind w:firstLine="480" w:firstLineChars="200"/>
        <w:rPr>
          <w:rFonts w:ascii="黑体" w:hAnsi="黑体" w:eastAsia="黑体"/>
          <w:kern w:val="0"/>
          <w:sz w:val="24"/>
        </w:rPr>
      </w:pPr>
      <w:r>
        <w:rPr>
          <w:rFonts w:hint="eastAsia" w:ascii="黑体" w:hAnsi="黑体" w:eastAsia="黑体"/>
          <w:kern w:val="0"/>
          <w:sz w:val="24"/>
          <w:lang w:val="en-US" w:eastAsia="zh-CN"/>
        </w:rPr>
        <w:t>1、</w:t>
      </w:r>
      <w:r>
        <w:rPr>
          <w:rFonts w:hint="eastAsia" w:ascii="黑体" w:hAnsi="黑体" w:eastAsia="黑体"/>
          <w:kern w:val="0"/>
          <w:sz w:val="24"/>
        </w:rPr>
        <w:t>主要技术</w:t>
      </w:r>
      <w:r>
        <w:rPr>
          <w:rFonts w:ascii="黑体" w:hAnsi="黑体" w:eastAsia="黑体"/>
          <w:kern w:val="0"/>
          <w:sz w:val="24"/>
        </w:rPr>
        <w:t>内容</w:t>
      </w:r>
      <w:r>
        <w:rPr>
          <w:rFonts w:hint="eastAsia" w:ascii="黑体" w:hAnsi="黑体" w:eastAsia="黑体"/>
          <w:kern w:val="0"/>
          <w:sz w:val="24"/>
        </w:rPr>
        <w:t>说明</w:t>
      </w:r>
    </w:p>
    <w:p w14:paraId="46F9B57C">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en-US" w:eastAsia="zh-CN"/>
        </w:rPr>
        <w:t>1</w:t>
      </w: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de-DE"/>
        </w:rPr>
        <w:t>标准结构范围</w:t>
      </w:r>
    </w:p>
    <w:p w14:paraId="27442E01">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rPr>
        <w:t>本标准主要由范围、规范性引用文件、术语和定义、总则、热（冷）电负荷、热力系统方案、堆-机-热-电容量匹配、工程设想、其他等9部分组成。</w:t>
      </w:r>
    </w:p>
    <w:p w14:paraId="53FB6A82">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en-US" w:eastAsia="zh-CN"/>
        </w:rPr>
        <w:t>2</w:t>
      </w: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de-DE"/>
        </w:rPr>
        <w:t>范围</w:t>
      </w:r>
    </w:p>
    <w:p w14:paraId="6322BD9B">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rPr>
        <w:t>本文件规定了新建高温气冷堆核能供热厂热力系统方案设计准则和基本要求。本文件适用于新建高温气冷堆核能供热厂供热工程及在役核电供热改造工程的设计参考。</w:t>
      </w:r>
    </w:p>
    <w:p w14:paraId="1BBC3657">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en-US" w:eastAsia="zh-CN"/>
        </w:rPr>
        <w:t>3</w:t>
      </w: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de-DE"/>
        </w:rPr>
        <w:t>规范性引用文件</w:t>
      </w:r>
    </w:p>
    <w:p w14:paraId="4AAA040A">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rPr>
        <w:t>规范性引用文件按照团体标准的统一导语，并根据被引用标准的情况，对所引用的标准是注日期的引用文件，仅所注日期的版本适用于本文件；凡是不注日期的引用文件，其最新版本（包括所有的修改单）适用于本文件。</w:t>
      </w:r>
    </w:p>
    <w:p w14:paraId="275C6F8C">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en-US" w:eastAsia="zh-CN"/>
        </w:rPr>
        <w:t>4</w:t>
      </w: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de-DE"/>
        </w:rPr>
        <w:t>术语和定义</w:t>
      </w:r>
    </w:p>
    <w:p w14:paraId="73882239">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rPr>
        <w:t>为了便于使用者阅读和理解，给出了本标准专用名词的解释。</w:t>
      </w:r>
    </w:p>
    <w:p w14:paraId="1A47DD60">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en-US" w:eastAsia="zh-CN"/>
        </w:rPr>
        <w:t>5</w:t>
      </w: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de-DE"/>
        </w:rPr>
        <w:t>总则</w:t>
      </w:r>
    </w:p>
    <w:p w14:paraId="745BB581">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rPr>
        <w:t>本节规定了高温气冷堆核能供热厂热力系统设计与建设的总则规范。系统设计应满足核安全法规要求，采用多重回路隔离，严格控制辐射监测指标；厂址规划要以满足用户需求为依据，采用“一次规划，分步实施”的原则；供热方式和工业蒸汽参数需结合用户类型、机组特点及输送距离综合确定，优先采用大温差供热技术，且设计寿命应与主体工程保持一致；保证反应堆满功率运行时，蒸汽换热站具备供热能力在“最小热负荷”与“设计热负荷”之间波动运行；优化常规岛及蒸汽换热站的系统配置和设备选型，从能量梯级利用的角度考虑设计热负荷的需求。</w:t>
      </w:r>
    </w:p>
    <w:p w14:paraId="7E04C6BD">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en-US" w:eastAsia="zh-CN"/>
        </w:rPr>
        <w:t>6</w:t>
      </w: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de-DE"/>
        </w:rPr>
        <w:t>热（冷）电负荷</w:t>
      </w:r>
    </w:p>
    <w:p w14:paraId="4422C0F8">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rPr>
        <w:t>本节介绍了高温气冷堆核能供热厂热力系统设计对热（冷）负荷和电负荷两方面的考虑。从时间发展跨度、空间类型分布、经济合理性等方面综合考虑对热、电负荷的规划，并确定与外部协作的蒸汽负荷和凝结水回收与否等情况的协议，考虑工业热负荷的备用应优先利用已有化石燃料热源的供热能力。</w:t>
      </w:r>
    </w:p>
    <w:p w14:paraId="46B432DF">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en-US" w:eastAsia="zh-CN"/>
        </w:rPr>
        <w:t>7</w:t>
      </w: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de-DE"/>
        </w:rPr>
        <w:t>热力系统方案</w:t>
      </w:r>
    </w:p>
    <w:p w14:paraId="47CF4305">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rPr>
        <w:t>本节介绍了系统拟定原则、工业供汽原则、采暖供热原则。核能供热厂热力系统设计的首要原则以核岛安全运行为基础，遵循“以热定电”的原则，满足项目的热负荷需求，减少对核岛堆功率的调节，合理选择换热设备端差，合理设置设备的容量裕度，核岛、供热、发电各系统之间尽量保持相对的独立性。在工业供汽方面，高温气冷堆核能供热厂优先供应高等级蒸汽，其次为中压蒸汽，最后为低压蒸汽，采用二回路主蒸汽或汽轮机抽汽作为加热汽源，设计出力满足设计负荷和最小负荷需求，加热蒸汽系统和凝结水系统应采用单元制，工业蒸汽管道上应设置辐射监测报警装置。在采暖供热方面，汽轮机的抽汽位置应根据汽轮机的安全性和供热经济性确定，宜采用高压缸排汽或中压缸排汽抽汽+低品质蒸汽梯级加热，热网循环水供水管道上应设置辐射监测报警装置，采暖供热应达到 CJJ/T 34 规定的最低保证率。</w:t>
      </w:r>
    </w:p>
    <w:p w14:paraId="0513221B">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en-US" w:eastAsia="zh-CN"/>
        </w:rPr>
        <w:t>8</w:t>
      </w: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de-DE"/>
        </w:rPr>
        <w:t>堆-机-热-电容量匹配</w:t>
      </w:r>
    </w:p>
    <w:p w14:paraId="6CAC16A4">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rPr>
        <w:t>本节介绍了高温气冷堆核能供热厂热力系统的堆-机-热-电容量匹配和系统协同的技术要求。在前期可行性研究阶段进行堆-机-热-电容量匹配，应遵循常规岛匹配核岛的原则，系统控制和运行必须以确保核岛安全为根本前提，遵循先供热、后供电的优先级顺序，减少瞬态相应动作，核蒸汽供应系统内设备的调节性能应同时满足供热和非供热工况的运行需求，并能够实现两种工况的平稳切换，此外，针对在役机组的供热改造，必须深入评估供热运行方式及瞬态、事故工况对堆机匹配、核岛安全、核蒸汽供应系统设备、一回路关键设备和管道力学评定及疲劳的影响。</w:t>
      </w:r>
    </w:p>
    <w:p w14:paraId="52ABC164">
      <w:pPr>
        <w:spacing w:line="360" w:lineRule="auto"/>
        <w:ind w:firstLine="480"/>
        <w:rPr>
          <w:rFonts w:hint="eastAsia" w:asciiTheme="minorEastAsia" w:hAnsiTheme="minorEastAsia"/>
          <w:b w:val="0"/>
          <w:bCs w:val="0"/>
          <w:sz w:val="24"/>
          <w:szCs w:val="28"/>
          <w:lang w:val="de-DE"/>
        </w:rPr>
      </w:pP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en-US" w:eastAsia="zh-CN"/>
        </w:rPr>
        <w:t>9</w:t>
      </w:r>
      <w:r>
        <w:rPr>
          <w:rFonts w:hint="eastAsia" w:asciiTheme="minorEastAsia" w:hAnsiTheme="minorEastAsia"/>
          <w:b w:val="0"/>
          <w:bCs w:val="0"/>
          <w:sz w:val="24"/>
          <w:szCs w:val="28"/>
          <w:lang w:val="de-DE" w:eastAsia="zh-CN"/>
        </w:rPr>
        <w:t>）</w:t>
      </w:r>
      <w:r>
        <w:rPr>
          <w:rFonts w:hint="eastAsia" w:asciiTheme="minorEastAsia" w:hAnsiTheme="minorEastAsia"/>
          <w:b w:val="0"/>
          <w:bCs w:val="0"/>
          <w:sz w:val="24"/>
          <w:szCs w:val="28"/>
          <w:lang w:val="de-DE"/>
        </w:rPr>
        <w:t>工程设想</w:t>
      </w:r>
    </w:p>
    <w:p w14:paraId="4E30A6F7">
      <w:pPr>
        <w:spacing w:line="360" w:lineRule="auto"/>
        <w:ind w:firstLine="480"/>
        <w:rPr>
          <w:rFonts w:hint="eastAsia" w:asciiTheme="minorEastAsia" w:hAnsiTheme="minorEastAsia"/>
          <w:b/>
          <w:bCs/>
          <w:sz w:val="24"/>
          <w:szCs w:val="28"/>
          <w:lang w:val="de-DE"/>
        </w:rPr>
      </w:pPr>
      <w:r>
        <w:rPr>
          <w:rFonts w:hint="eastAsia" w:asciiTheme="minorEastAsia" w:hAnsiTheme="minorEastAsia"/>
          <w:b w:val="0"/>
          <w:bCs w:val="0"/>
          <w:sz w:val="24"/>
          <w:szCs w:val="28"/>
          <w:lang w:val="de-DE"/>
        </w:rPr>
        <w:t>本节规定了高温气冷堆核能供热厂热力系统在热电联产、采暖供热、系统控制以及厂房布置等方面的具体技术要求。在工业供汽与采暖供热方面，汽轮发电机组及二回路热力系统的设计选型必须适配核岛的启停次数、负荷变化率和寿命要求，确保机组在供热负荷波动及核岛紧急排热工况下的安全稳定运行；相关供热、换热和热网补水系统均应采用多列设置、变频调速及合理的冗余和备用设计，严格控制凝结水与疏水水质，并优化确定采暖供热的温度参数（如设计供/回水温度宜为120°C/不超过30°C），保障在单台最大机组停运或事故工况下仍能满足用户连续生产与生活热负荷的最低保证率，且机组大修时间应错开采暖季。在系统控制与改造方面，供热控制方式必须与机组及常规岛BOP辅助控制系统相匹配，满足电、热负荷在一定范围内的调节需求以维持反应堆功率基本稳定，且在役机组改造前需全面评估其对核蒸汽供应系统的影响并重新进行闭环控制试验。在厂房布置方面，主厂房布置应满足核岛功能和安全要求，并契合热、电生产工艺流程，做到布局紧凑合理、管线整齐、通道畅通，同时配备完善的设备检修与起吊设施。</w:t>
      </w:r>
    </w:p>
    <w:p w14:paraId="3C1C9781">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国内外相关标准现状分析</w:t>
      </w:r>
    </w:p>
    <w:p w14:paraId="05441217">
      <w:pPr>
        <w:spacing w:line="360" w:lineRule="auto"/>
        <w:ind w:firstLine="480"/>
        <w:rPr>
          <w:rFonts w:hint="eastAsia" w:asciiTheme="minorEastAsia" w:hAnsiTheme="minorEastAsia"/>
          <w:color w:val="auto"/>
          <w:sz w:val="24"/>
          <w:szCs w:val="28"/>
          <w:lang w:val="de-DE"/>
        </w:rPr>
      </w:pPr>
      <w:r>
        <w:rPr>
          <w:rFonts w:hint="eastAsia" w:asciiTheme="minorEastAsia" w:hAnsiTheme="minorEastAsia"/>
          <w:color w:val="auto"/>
          <w:sz w:val="24"/>
          <w:szCs w:val="28"/>
          <w:lang w:val="de-DE"/>
        </w:rPr>
        <w:t>目前国内外相关的核能供热厂的设计标准基本是针对火电机组，对核电供热标准并不完全适用。《压水堆核电厂对外供热项目实施导则》（T/CNEA 154-2023）适用于大型压水堆核电厂以水为热媒对外供热项目的实施管理，是对技术管理和项目管理的要求。高温气冷堆供热并没有相关标准体系进行规定，本标准是建立国内高温气冷堆标准规范的重要组成部分。</w:t>
      </w:r>
    </w:p>
    <w:p w14:paraId="67472F0F">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lang w:val="en-US" w:eastAsia="zh-CN"/>
        </w:rPr>
        <w:t>主要</w:t>
      </w:r>
      <w:r>
        <w:rPr>
          <w:rFonts w:ascii="黑体" w:hAnsi="宋体" w:eastAsia="黑体"/>
          <w:sz w:val="28"/>
          <w:szCs w:val="28"/>
        </w:rPr>
        <w:t>试验验证</w:t>
      </w:r>
      <w:r>
        <w:rPr>
          <w:rFonts w:hint="eastAsia" w:ascii="黑体" w:hAnsi="宋体" w:eastAsia="黑体"/>
          <w:sz w:val="28"/>
          <w:szCs w:val="28"/>
          <w:lang w:val="en-US" w:eastAsia="zh-CN"/>
        </w:rPr>
        <w:t>情况和预期达到的效果</w:t>
      </w:r>
    </w:p>
    <w:p w14:paraId="05D21BA0">
      <w:pPr>
        <w:spacing w:line="360" w:lineRule="auto"/>
        <w:ind w:firstLine="480"/>
        <w:rPr>
          <w:rFonts w:ascii="Calibri" w:hAnsi="Calibri" w:eastAsia="宋体" w:cs="Times New Roman"/>
          <w:color w:val="auto"/>
          <w:sz w:val="24"/>
        </w:rPr>
      </w:pPr>
      <w:r>
        <w:rPr>
          <w:rFonts w:hint="eastAsia" w:ascii="Calibri" w:hAnsi="Calibri" w:eastAsia="宋体" w:cs="Times New Roman"/>
          <w:color w:val="auto"/>
          <w:sz w:val="24"/>
        </w:rPr>
        <w:t>本标准</w:t>
      </w:r>
      <w:r>
        <w:rPr>
          <w:rFonts w:hint="eastAsia" w:ascii="Calibri" w:hAnsi="Calibri" w:eastAsia="宋体" w:cs="Times New Roman"/>
          <w:color w:val="auto"/>
          <w:sz w:val="24"/>
          <w:lang w:val="en-US" w:eastAsia="zh-CN"/>
        </w:rPr>
        <w:t>发布后</w:t>
      </w:r>
      <w:r>
        <w:rPr>
          <w:rFonts w:hint="eastAsia" w:ascii="Calibri" w:hAnsi="Calibri" w:eastAsia="宋体" w:cs="Times New Roman"/>
          <w:color w:val="auto"/>
          <w:sz w:val="24"/>
        </w:rPr>
        <w:t>实施可解决</w:t>
      </w:r>
      <w:r>
        <w:rPr>
          <w:rFonts w:hint="eastAsia" w:ascii="Calibri" w:hAnsi="Calibri" w:eastAsia="宋体" w:cs="Times New Roman"/>
          <w:color w:val="auto"/>
          <w:sz w:val="24"/>
          <w:lang w:val="en-US" w:eastAsia="zh-CN"/>
        </w:rPr>
        <w:t>目前高温气冷堆外供蒸汽热力系统设计的原则</w:t>
      </w:r>
      <w:r>
        <w:rPr>
          <w:rFonts w:hint="eastAsia" w:ascii="Calibri" w:hAnsi="Calibri" w:eastAsia="宋体" w:cs="Times New Roman"/>
          <w:color w:val="auto"/>
          <w:sz w:val="24"/>
        </w:rPr>
        <w:t>问题</w:t>
      </w:r>
      <w:r>
        <w:rPr>
          <w:rFonts w:hint="eastAsia" w:ascii="Calibri" w:hAnsi="Calibri" w:eastAsia="宋体" w:cs="Times New Roman"/>
          <w:color w:val="auto"/>
          <w:sz w:val="24"/>
          <w:lang w:eastAsia="zh-CN"/>
        </w:rPr>
        <w:t>，</w:t>
      </w:r>
      <w:r>
        <w:rPr>
          <w:rFonts w:hint="eastAsia" w:ascii="Calibri" w:hAnsi="Calibri" w:eastAsia="宋体" w:cs="Times New Roman"/>
          <w:color w:val="auto"/>
          <w:sz w:val="24"/>
          <w:lang w:val="en-US" w:eastAsia="zh-CN"/>
        </w:rPr>
        <w:t>为后续供热项目提供参考依据</w:t>
      </w:r>
      <w:r>
        <w:rPr>
          <w:rFonts w:hint="eastAsia" w:ascii="Calibri" w:hAnsi="Calibri" w:eastAsia="宋体" w:cs="Times New Roman"/>
          <w:color w:val="auto"/>
          <w:sz w:val="24"/>
        </w:rPr>
        <w:t>。</w:t>
      </w:r>
    </w:p>
    <w:p w14:paraId="61515D63">
      <w:pPr>
        <w:numPr>
          <w:ilvl w:val="0"/>
          <w:numId w:val="1"/>
        </w:numPr>
        <w:spacing w:before="240" w:after="240" w:line="360" w:lineRule="auto"/>
        <w:rPr>
          <w:rFonts w:hint="eastAsia" w:ascii="黑体" w:eastAsia="黑体"/>
          <w:sz w:val="28"/>
          <w:szCs w:val="28"/>
        </w:rPr>
      </w:pPr>
      <w:r>
        <w:rPr>
          <w:rFonts w:hint="eastAsia" w:ascii="黑体" w:eastAsia="黑体"/>
          <w:sz w:val="28"/>
          <w:szCs w:val="28"/>
        </w:rPr>
        <w:t>与现行法律、法规、政策及相关标准的</w:t>
      </w:r>
      <w:r>
        <w:rPr>
          <w:rFonts w:hint="eastAsia" w:ascii="黑体" w:eastAsia="黑体"/>
          <w:sz w:val="28"/>
          <w:szCs w:val="28"/>
          <w:lang w:val="en-US" w:eastAsia="zh-CN"/>
        </w:rPr>
        <w:t>协调性</w:t>
      </w:r>
    </w:p>
    <w:p w14:paraId="3D6F027B">
      <w:pPr>
        <w:pStyle w:val="24"/>
        <w:spacing w:line="360" w:lineRule="auto"/>
        <w:ind w:firstLine="480"/>
        <w:rPr>
          <w:rFonts w:ascii="黑体" w:hAnsi="宋体"/>
          <w:sz w:val="24"/>
          <w:szCs w:val="28"/>
          <w:lang w:val="de-DE"/>
        </w:rPr>
      </w:pPr>
      <w:r>
        <w:rPr>
          <w:rFonts w:hint="eastAsia" w:ascii="黑体" w:hAnsi="宋体"/>
          <w:sz w:val="24"/>
          <w:szCs w:val="28"/>
          <w:lang w:val="de-DE"/>
        </w:rPr>
        <w:t>本标准技术内容符合国家核安全技术法规</w:t>
      </w:r>
      <w:r>
        <w:rPr>
          <w:rFonts w:hint="eastAsia" w:ascii="黑体" w:hAnsi="宋体"/>
          <w:sz w:val="24"/>
          <w:szCs w:val="28"/>
          <w:lang w:val="en-US" w:eastAsia="zh-CN"/>
        </w:rPr>
        <w:t>及</w:t>
      </w:r>
      <w:r>
        <w:rPr>
          <w:rFonts w:hint="eastAsia" w:ascii="黑体" w:hAnsi="宋体"/>
          <w:sz w:val="24"/>
          <w:szCs w:val="28"/>
          <w:lang w:val="de-DE"/>
        </w:rPr>
        <w:t>导则要求。</w:t>
      </w:r>
    </w:p>
    <w:p w14:paraId="7E0462E5">
      <w:pPr>
        <w:numPr>
          <w:ilvl w:val="0"/>
          <w:numId w:val="1"/>
        </w:numPr>
        <w:spacing w:before="240" w:after="240" w:line="360" w:lineRule="auto"/>
        <w:rPr>
          <w:rFonts w:hint="eastAsia" w:ascii="黑体" w:eastAsia="黑体"/>
          <w:sz w:val="28"/>
          <w:szCs w:val="28"/>
        </w:rPr>
      </w:pPr>
      <w:r>
        <w:rPr>
          <w:rFonts w:hint="eastAsia" w:ascii="黑体" w:eastAsia="黑体"/>
          <w:sz w:val="28"/>
          <w:szCs w:val="28"/>
        </w:rPr>
        <w:t>贯彻标准的要求和措施建议</w:t>
      </w:r>
    </w:p>
    <w:p w14:paraId="72FDCB16">
      <w:pPr>
        <w:pStyle w:val="24"/>
        <w:spacing w:line="360" w:lineRule="auto"/>
        <w:ind w:firstLine="480"/>
        <w:rPr>
          <w:rFonts w:hint="eastAsia" w:ascii="黑体" w:hAnsi="宋体"/>
          <w:sz w:val="24"/>
          <w:szCs w:val="28"/>
          <w:lang w:val="en-US" w:eastAsia="zh-CN"/>
        </w:rPr>
      </w:pPr>
      <w:r>
        <w:rPr>
          <w:rFonts w:hint="eastAsia" w:ascii="黑体" w:hAnsi="宋体"/>
          <w:sz w:val="24"/>
          <w:szCs w:val="28"/>
          <w:lang w:val="en-US" w:eastAsia="zh-CN"/>
        </w:rPr>
        <w:t>本标准发布后，建议高温气冷堆供热相关设计采用。</w:t>
      </w:r>
    </w:p>
    <w:p w14:paraId="7C45F60D">
      <w:pPr>
        <w:numPr>
          <w:ilvl w:val="0"/>
          <w:numId w:val="1"/>
        </w:numPr>
        <w:spacing w:before="240" w:after="240" w:line="360" w:lineRule="auto"/>
        <w:rPr>
          <w:rFonts w:ascii="黑体" w:eastAsia="黑体"/>
          <w:sz w:val="28"/>
          <w:szCs w:val="28"/>
        </w:rPr>
      </w:pPr>
      <w:r>
        <w:rPr>
          <w:rFonts w:hint="eastAsia" w:ascii="黑体" w:eastAsia="黑体"/>
          <w:sz w:val="28"/>
          <w:szCs w:val="28"/>
        </w:rPr>
        <w:t>重大分歧意见的处理经过和依据</w:t>
      </w:r>
    </w:p>
    <w:p w14:paraId="3AD45AB1">
      <w:pPr>
        <w:pStyle w:val="24"/>
        <w:spacing w:line="360" w:lineRule="auto"/>
        <w:ind w:firstLine="480"/>
        <w:rPr>
          <w:rFonts w:ascii="黑体" w:hAnsi="宋体"/>
          <w:sz w:val="24"/>
          <w:szCs w:val="28"/>
          <w:lang w:val="de-DE"/>
        </w:rPr>
      </w:pPr>
      <w:r>
        <w:rPr>
          <w:rFonts w:hint="eastAsia" w:ascii="黑体" w:hAnsi="宋体"/>
          <w:sz w:val="24"/>
          <w:szCs w:val="28"/>
          <w:lang w:val="de-DE"/>
        </w:rPr>
        <w:t>本标准起草过程中无重大分歧意见。</w:t>
      </w:r>
    </w:p>
    <w:p w14:paraId="735ED768">
      <w:pPr>
        <w:numPr>
          <w:ilvl w:val="0"/>
          <w:numId w:val="1"/>
        </w:numPr>
        <w:spacing w:before="240" w:after="240" w:line="360" w:lineRule="auto"/>
        <w:rPr>
          <w:rFonts w:ascii="黑体" w:eastAsia="黑体"/>
          <w:sz w:val="28"/>
          <w:szCs w:val="28"/>
        </w:rPr>
      </w:pPr>
      <w:r>
        <w:rPr>
          <w:rFonts w:hint="eastAsia" w:ascii="黑体" w:eastAsia="黑体"/>
          <w:sz w:val="28"/>
          <w:szCs w:val="28"/>
        </w:rPr>
        <w:t>涉及专利的有关说明</w:t>
      </w:r>
    </w:p>
    <w:p w14:paraId="55BEDB67">
      <w:pPr>
        <w:pStyle w:val="24"/>
        <w:spacing w:line="360" w:lineRule="auto"/>
        <w:ind w:firstLine="480"/>
        <w:rPr>
          <w:rFonts w:ascii="黑体" w:hAnsi="宋体"/>
          <w:sz w:val="24"/>
          <w:szCs w:val="28"/>
          <w:lang w:val="de-DE"/>
        </w:rPr>
      </w:pPr>
      <w:r>
        <w:rPr>
          <w:rFonts w:hint="eastAsia" w:ascii="黑体" w:hAnsi="宋体"/>
          <w:sz w:val="24"/>
          <w:szCs w:val="28"/>
          <w:lang w:val="de-DE"/>
        </w:rPr>
        <w:t>本标准不涉及专利。</w:t>
      </w:r>
    </w:p>
    <w:p w14:paraId="18B80715">
      <w:pPr>
        <w:numPr>
          <w:ilvl w:val="0"/>
          <w:numId w:val="1"/>
        </w:numPr>
        <w:spacing w:before="240" w:after="240" w:line="360" w:lineRule="auto"/>
        <w:rPr>
          <w:rFonts w:ascii="黑体" w:eastAsia="黑体"/>
          <w:sz w:val="28"/>
          <w:szCs w:val="28"/>
        </w:rPr>
      </w:pPr>
      <w:r>
        <w:rPr>
          <w:rFonts w:ascii="黑体" w:eastAsia="黑体"/>
          <w:sz w:val="28"/>
          <w:szCs w:val="28"/>
        </w:rPr>
        <w:t>其它事项</w:t>
      </w:r>
    </w:p>
    <w:p w14:paraId="12032994">
      <w:pPr>
        <w:spacing w:line="360" w:lineRule="auto"/>
        <w:ind w:firstLine="480" w:firstLineChars="200"/>
        <w:rPr>
          <w:rFonts w:ascii="黑体" w:eastAsia="黑体"/>
          <w:sz w:val="28"/>
          <w:szCs w:val="28"/>
        </w:rPr>
      </w:pPr>
      <w:r>
        <w:rPr>
          <w:rFonts w:hint="eastAsia"/>
          <w:sz w:val="24"/>
        </w:rPr>
        <w:t>无/调整申请等情况</w:t>
      </w:r>
      <w:r>
        <w:rPr>
          <w:rFonts w:hint="eastAsia" w:ascii="黑体" w:hAnsi="宋体"/>
          <w:sz w:val="24"/>
          <w:szCs w:val="28"/>
          <w:lang w:val="de-DE"/>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EAB7B">
    <w:pPr>
      <w:pStyle w:val="8"/>
      <w:jc w:val="center"/>
    </w:pPr>
  </w:p>
  <w:p w14:paraId="4397749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0474950"/>
      <w:docPartObj>
        <w:docPartGallery w:val="autotext"/>
      </w:docPartObj>
    </w:sdtPr>
    <w:sdtEndPr>
      <w:rPr>
        <w:rFonts w:asciiTheme="minorEastAsia" w:hAnsiTheme="minorEastAsia"/>
        <w:sz w:val="21"/>
        <w:szCs w:val="21"/>
      </w:rPr>
    </w:sdtEndPr>
    <w:sdtContent>
      <w:p w14:paraId="0324308D">
        <w:pPr>
          <w:pStyle w:val="8"/>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 xml:space="preserve">PAGE   \* MERGEFORMAT</w:instrText>
        </w:r>
        <w:r>
          <w:rPr>
            <w:rFonts w:asciiTheme="minorEastAsia" w:hAnsiTheme="minorEastAsia"/>
            <w:sz w:val="21"/>
            <w:szCs w:val="21"/>
          </w:rPr>
          <w:fldChar w:fldCharType="separate"/>
        </w:r>
        <w:r>
          <w:rPr>
            <w:rFonts w:asciiTheme="minorEastAsia" w:hAnsiTheme="minorEastAsia"/>
            <w:sz w:val="21"/>
            <w:szCs w:val="21"/>
            <w:lang w:val="zh-CN"/>
          </w:rPr>
          <w:t>2</w:t>
        </w:r>
        <w:r>
          <w:rPr>
            <w:rFonts w:asciiTheme="minorEastAsia" w:hAnsiTheme="minorEastAsia"/>
            <w:sz w:val="21"/>
            <w:szCs w:val="21"/>
          </w:rPr>
          <w:fldChar w:fldCharType="end"/>
        </w:r>
      </w:p>
    </w:sdtContent>
  </w:sdt>
  <w:p w14:paraId="522433AC">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E3D38"/>
    <w:multiLevelType w:val="multilevel"/>
    <w:tmpl w:val="2D4E3D38"/>
    <w:lvl w:ilvl="0" w:tentative="0">
      <w:start w:val="1"/>
      <w:numFmt w:val="japaneseCounting"/>
      <w:lvlText w:val="%1、"/>
      <w:lvlJc w:val="left"/>
      <w:pPr>
        <w:tabs>
          <w:tab w:val="left" w:pos="720"/>
        </w:tabs>
        <w:ind w:left="720" w:hanging="720"/>
      </w:pPr>
      <w:rPr>
        <w:rFonts w:hint="eastAsia"/>
        <w:sz w:val="28"/>
        <w:szCs w:val="28"/>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D6A"/>
    <w:rsid w:val="0001035E"/>
    <w:rsid w:val="00020F20"/>
    <w:rsid w:val="00032502"/>
    <w:rsid w:val="000352E2"/>
    <w:rsid w:val="00036EF6"/>
    <w:rsid w:val="00053FEC"/>
    <w:rsid w:val="0006333A"/>
    <w:rsid w:val="0006411B"/>
    <w:rsid w:val="0006596B"/>
    <w:rsid w:val="00066DB3"/>
    <w:rsid w:val="0008573B"/>
    <w:rsid w:val="00087647"/>
    <w:rsid w:val="00091E9C"/>
    <w:rsid w:val="000A366A"/>
    <w:rsid w:val="000E4C1C"/>
    <w:rsid w:val="000E59E1"/>
    <w:rsid w:val="000E6B69"/>
    <w:rsid w:val="000F2FED"/>
    <w:rsid w:val="00120BF8"/>
    <w:rsid w:val="00135FE4"/>
    <w:rsid w:val="00162AC3"/>
    <w:rsid w:val="001662F4"/>
    <w:rsid w:val="00171731"/>
    <w:rsid w:val="0018410B"/>
    <w:rsid w:val="0018750C"/>
    <w:rsid w:val="001A04B6"/>
    <w:rsid w:val="001C3A26"/>
    <w:rsid w:val="001C4ED9"/>
    <w:rsid w:val="001D1932"/>
    <w:rsid w:val="001D1C95"/>
    <w:rsid w:val="001D53B0"/>
    <w:rsid w:val="001D5C80"/>
    <w:rsid w:val="001D7C70"/>
    <w:rsid w:val="001F3979"/>
    <w:rsid w:val="001F78E8"/>
    <w:rsid w:val="002248E2"/>
    <w:rsid w:val="00230930"/>
    <w:rsid w:val="00231B37"/>
    <w:rsid w:val="0023271D"/>
    <w:rsid w:val="00255933"/>
    <w:rsid w:val="0026281F"/>
    <w:rsid w:val="00262F65"/>
    <w:rsid w:val="00263F77"/>
    <w:rsid w:val="00271E11"/>
    <w:rsid w:val="00272FB6"/>
    <w:rsid w:val="00277521"/>
    <w:rsid w:val="002837DD"/>
    <w:rsid w:val="002A3631"/>
    <w:rsid w:val="002B4EF8"/>
    <w:rsid w:val="002C70FD"/>
    <w:rsid w:val="002E7FC9"/>
    <w:rsid w:val="002F19CD"/>
    <w:rsid w:val="003023D6"/>
    <w:rsid w:val="003054DF"/>
    <w:rsid w:val="00347448"/>
    <w:rsid w:val="003477F4"/>
    <w:rsid w:val="00360720"/>
    <w:rsid w:val="00360880"/>
    <w:rsid w:val="0036585E"/>
    <w:rsid w:val="00374640"/>
    <w:rsid w:val="00376793"/>
    <w:rsid w:val="00377A70"/>
    <w:rsid w:val="00380A66"/>
    <w:rsid w:val="00384434"/>
    <w:rsid w:val="0039353C"/>
    <w:rsid w:val="00397253"/>
    <w:rsid w:val="003A7847"/>
    <w:rsid w:val="003C1750"/>
    <w:rsid w:val="003D5D6A"/>
    <w:rsid w:val="003D6964"/>
    <w:rsid w:val="003D73E7"/>
    <w:rsid w:val="003E0D1B"/>
    <w:rsid w:val="003F4F38"/>
    <w:rsid w:val="0041093F"/>
    <w:rsid w:val="0041513D"/>
    <w:rsid w:val="00421780"/>
    <w:rsid w:val="00434B44"/>
    <w:rsid w:val="004351D2"/>
    <w:rsid w:val="004570FA"/>
    <w:rsid w:val="004629BF"/>
    <w:rsid w:val="004818B1"/>
    <w:rsid w:val="00482C0B"/>
    <w:rsid w:val="00487D8A"/>
    <w:rsid w:val="0049012E"/>
    <w:rsid w:val="00493B74"/>
    <w:rsid w:val="00494F73"/>
    <w:rsid w:val="004A39CA"/>
    <w:rsid w:val="004B012F"/>
    <w:rsid w:val="004B1ED8"/>
    <w:rsid w:val="004C1E82"/>
    <w:rsid w:val="004D5C7C"/>
    <w:rsid w:val="004E1878"/>
    <w:rsid w:val="00501090"/>
    <w:rsid w:val="00510B30"/>
    <w:rsid w:val="00535B6B"/>
    <w:rsid w:val="00565379"/>
    <w:rsid w:val="00577081"/>
    <w:rsid w:val="00583F07"/>
    <w:rsid w:val="00592463"/>
    <w:rsid w:val="00593417"/>
    <w:rsid w:val="005C060A"/>
    <w:rsid w:val="005D2B6F"/>
    <w:rsid w:val="005D459D"/>
    <w:rsid w:val="005E7DA2"/>
    <w:rsid w:val="005F1089"/>
    <w:rsid w:val="005F324A"/>
    <w:rsid w:val="006015F7"/>
    <w:rsid w:val="00604D60"/>
    <w:rsid w:val="00624A40"/>
    <w:rsid w:val="00656297"/>
    <w:rsid w:val="006807F9"/>
    <w:rsid w:val="006842A7"/>
    <w:rsid w:val="0069218C"/>
    <w:rsid w:val="006A3ED7"/>
    <w:rsid w:val="006A5A31"/>
    <w:rsid w:val="006B0792"/>
    <w:rsid w:val="006C67AB"/>
    <w:rsid w:val="006D2527"/>
    <w:rsid w:val="006D2A2A"/>
    <w:rsid w:val="006D654C"/>
    <w:rsid w:val="006E39BB"/>
    <w:rsid w:val="006F71DF"/>
    <w:rsid w:val="00726B81"/>
    <w:rsid w:val="0073764F"/>
    <w:rsid w:val="00737BD6"/>
    <w:rsid w:val="00741DD1"/>
    <w:rsid w:val="00762A7F"/>
    <w:rsid w:val="007640A6"/>
    <w:rsid w:val="00765F81"/>
    <w:rsid w:val="007823B4"/>
    <w:rsid w:val="007945C1"/>
    <w:rsid w:val="007C6FFA"/>
    <w:rsid w:val="008049C5"/>
    <w:rsid w:val="00822669"/>
    <w:rsid w:val="0082296F"/>
    <w:rsid w:val="008272B6"/>
    <w:rsid w:val="00830678"/>
    <w:rsid w:val="00832DCD"/>
    <w:rsid w:val="00841E8E"/>
    <w:rsid w:val="00860227"/>
    <w:rsid w:val="00861D8F"/>
    <w:rsid w:val="0087331D"/>
    <w:rsid w:val="008948AF"/>
    <w:rsid w:val="00897716"/>
    <w:rsid w:val="008B7981"/>
    <w:rsid w:val="008C08D5"/>
    <w:rsid w:val="008C15E6"/>
    <w:rsid w:val="008C1B69"/>
    <w:rsid w:val="008D2FD7"/>
    <w:rsid w:val="008D5EBD"/>
    <w:rsid w:val="008D5EDF"/>
    <w:rsid w:val="008E636A"/>
    <w:rsid w:val="00911329"/>
    <w:rsid w:val="00930ED7"/>
    <w:rsid w:val="00943FCA"/>
    <w:rsid w:val="00944650"/>
    <w:rsid w:val="00946F21"/>
    <w:rsid w:val="00953C06"/>
    <w:rsid w:val="009656CB"/>
    <w:rsid w:val="009666A8"/>
    <w:rsid w:val="0096672D"/>
    <w:rsid w:val="00991817"/>
    <w:rsid w:val="009A07E0"/>
    <w:rsid w:val="009A3084"/>
    <w:rsid w:val="009A3AEB"/>
    <w:rsid w:val="009C2184"/>
    <w:rsid w:val="009D5501"/>
    <w:rsid w:val="009E1897"/>
    <w:rsid w:val="00A02C1A"/>
    <w:rsid w:val="00A036B1"/>
    <w:rsid w:val="00A1629E"/>
    <w:rsid w:val="00A23528"/>
    <w:rsid w:val="00A332CC"/>
    <w:rsid w:val="00A3410F"/>
    <w:rsid w:val="00A41EDF"/>
    <w:rsid w:val="00A454E1"/>
    <w:rsid w:val="00A513CB"/>
    <w:rsid w:val="00A52E1A"/>
    <w:rsid w:val="00A539F9"/>
    <w:rsid w:val="00A80789"/>
    <w:rsid w:val="00A85ED0"/>
    <w:rsid w:val="00A94B8A"/>
    <w:rsid w:val="00AA0012"/>
    <w:rsid w:val="00AA1D40"/>
    <w:rsid w:val="00AA7212"/>
    <w:rsid w:val="00AB1BC4"/>
    <w:rsid w:val="00AB7EB3"/>
    <w:rsid w:val="00AC6EC0"/>
    <w:rsid w:val="00AD1385"/>
    <w:rsid w:val="00AD342B"/>
    <w:rsid w:val="00AD4BFC"/>
    <w:rsid w:val="00AE2E13"/>
    <w:rsid w:val="00B1176B"/>
    <w:rsid w:val="00B27905"/>
    <w:rsid w:val="00B349BD"/>
    <w:rsid w:val="00B43477"/>
    <w:rsid w:val="00B464BF"/>
    <w:rsid w:val="00B46840"/>
    <w:rsid w:val="00B565BB"/>
    <w:rsid w:val="00B66BA8"/>
    <w:rsid w:val="00B67AB9"/>
    <w:rsid w:val="00B75C75"/>
    <w:rsid w:val="00B80B98"/>
    <w:rsid w:val="00B833F4"/>
    <w:rsid w:val="00B86AC2"/>
    <w:rsid w:val="00B87C55"/>
    <w:rsid w:val="00B90D7E"/>
    <w:rsid w:val="00B94209"/>
    <w:rsid w:val="00BA5C3D"/>
    <w:rsid w:val="00BB232B"/>
    <w:rsid w:val="00BB5C26"/>
    <w:rsid w:val="00BE5AE0"/>
    <w:rsid w:val="00BF3CE3"/>
    <w:rsid w:val="00BF53A9"/>
    <w:rsid w:val="00C10AE7"/>
    <w:rsid w:val="00C158DF"/>
    <w:rsid w:val="00C37E1D"/>
    <w:rsid w:val="00C37F78"/>
    <w:rsid w:val="00C632FF"/>
    <w:rsid w:val="00C70CFC"/>
    <w:rsid w:val="00C82498"/>
    <w:rsid w:val="00CA1A9A"/>
    <w:rsid w:val="00CB4F95"/>
    <w:rsid w:val="00CC5982"/>
    <w:rsid w:val="00CE54C8"/>
    <w:rsid w:val="00D04AF0"/>
    <w:rsid w:val="00D12DB6"/>
    <w:rsid w:val="00D377FB"/>
    <w:rsid w:val="00D82D77"/>
    <w:rsid w:val="00D86897"/>
    <w:rsid w:val="00D90C74"/>
    <w:rsid w:val="00DA0699"/>
    <w:rsid w:val="00DA0763"/>
    <w:rsid w:val="00DC337B"/>
    <w:rsid w:val="00DD3CF8"/>
    <w:rsid w:val="00DD4EE0"/>
    <w:rsid w:val="00DE1542"/>
    <w:rsid w:val="00DE6559"/>
    <w:rsid w:val="00E05368"/>
    <w:rsid w:val="00E10B69"/>
    <w:rsid w:val="00E360CB"/>
    <w:rsid w:val="00E36FC3"/>
    <w:rsid w:val="00E76A7B"/>
    <w:rsid w:val="00E90100"/>
    <w:rsid w:val="00E9625E"/>
    <w:rsid w:val="00EA4970"/>
    <w:rsid w:val="00EB3A01"/>
    <w:rsid w:val="00EE5E5C"/>
    <w:rsid w:val="00EF1882"/>
    <w:rsid w:val="00EF4C74"/>
    <w:rsid w:val="00F147EB"/>
    <w:rsid w:val="00F17050"/>
    <w:rsid w:val="00F30D51"/>
    <w:rsid w:val="00F35566"/>
    <w:rsid w:val="00F35DF2"/>
    <w:rsid w:val="00F3622B"/>
    <w:rsid w:val="00F424E8"/>
    <w:rsid w:val="00F45DC7"/>
    <w:rsid w:val="00F605AE"/>
    <w:rsid w:val="00F67197"/>
    <w:rsid w:val="00F705C5"/>
    <w:rsid w:val="00F90CC9"/>
    <w:rsid w:val="00F915CB"/>
    <w:rsid w:val="00F95E18"/>
    <w:rsid w:val="00FA44BA"/>
    <w:rsid w:val="00FA6510"/>
    <w:rsid w:val="00FC3B05"/>
    <w:rsid w:val="00FD2C1D"/>
    <w:rsid w:val="00FE741B"/>
    <w:rsid w:val="099044F7"/>
    <w:rsid w:val="1DC63910"/>
    <w:rsid w:val="2C041C52"/>
    <w:rsid w:val="35CF065B"/>
    <w:rsid w:val="3C656FDE"/>
    <w:rsid w:val="401C0E4D"/>
    <w:rsid w:val="465F41FD"/>
    <w:rsid w:val="5B9067AF"/>
    <w:rsid w:val="5FD73049"/>
    <w:rsid w:val="73E27A62"/>
    <w:rsid w:val="7C7750F6"/>
    <w:rsid w:val="7E0A0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Body Text"/>
    <w:basedOn w:val="1"/>
    <w:link w:val="31"/>
    <w:qFormat/>
    <w:uiPriority w:val="1"/>
    <w:pPr>
      <w:autoSpaceDE w:val="0"/>
      <w:autoSpaceDN w:val="0"/>
      <w:jc w:val="left"/>
    </w:pPr>
    <w:rPr>
      <w:rFonts w:ascii="宋体" w:hAnsi="宋体" w:eastAsia="宋体" w:cs="宋体"/>
      <w:kern w:val="0"/>
      <w:sz w:val="32"/>
      <w:szCs w:val="32"/>
      <w:lang w:eastAsia="en-US"/>
    </w:rPr>
  </w:style>
  <w:style w:type="paragraph" w:styleId="7">
    <w:name w:val="Balloon Text"/>
    <w:basedOn w:val="1"/>
    <w:link w:val="27"/>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8"/>
    <w:semiHidden/>
    <w:unhideWhenUsed/>
    <w:qFormat/>
    <w:uiPriority w:val="99"/>
    <w:pPr>
      <w:snapToGrid w:val="0"/>
      <w:jc w:val="left"/>
    </w:pPr>
    <w:rPr>
      <w:sz w:val="18"/>
      <w:szCs w:val="18"/>
    </w:rPr>
  </w:style>
  <w:style w:type="paragraph" w:styleId="11">
    <w:name w:val="Title"/>
    <w:basedOn w:val="1"/>
    <w:next w:val="1"/>
    <w:link w:val="30"/>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99"/>
  </w:style>
  <w:style w:type="character" w:styleId="16">
    <w:name w:val="annotation reference"/>
    <w:basedOn w:val="14"/>
    <w:semiHidden/>
    <w:unhideWhenUsed/>
    <w:qFormat/>
    <w:uiPriority w:val="99"/>
    <w:rPr>
      <w:sz w:val="21"/>
      <w:szCs w:val="21"/>
    </w:rPr>
  </w:style>
  <w:style w:type="character" w:styleId="17">
    <w:name w:val="footnote reference"/>
    <w:basedOn w:val="14"/>
    <w:semiHidden/>
    <w:unhideWhenUsed/>
    <w:qFormat/>
    <w:uiPriority w:val="99"/>
    <w:rPr>
      <w:vertAlign w:val="superscript"/>
    </w:rPr>
  </w:style>
  <w:style w:type="character" w:customStyle="1" w:styleId="18">
    <w:name w:val="页眉 字符"/>
    <w:basedOn w:val="14"/>
    <w:link w:val="9"/>
    <w:qFormat/>
    <w:uiPriority w:val="99"/>
    <w:rPr>
      <w:sz w:val="18"/>
      <w:szCs w:val="18"/>
    </w:rPr>
  </w:style>
  <w:style w:type="character" w:customStyle="1" w:styleId="19">
    <w:name w:val="页脚 字符"/>
    <w:basedOn w:val="14"/>
    <w:link w:val="8"/>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标题 1 字符"/>
    <w:basedOn w:val="14"/>
    <w:link w:val="2"/>
    <w:qFormat/>
    <w:uiPriority w:val="9"/>
    <w:rPr>
      <w:b/>
      <w:bCs/>
      <w:kern w:val="44"/>
      <w:sz w:val="44"/>
      <w:szCs w:val="44"/>
    </w:rPr>
  </w:style>
  <w:style w:type="character" w:customStyle="1" w:styleId="22">
    <w:name w:val="标题 2 字符"/>
    <w:basedOn w:val="14"/>
    <w:link w:val="3"/>
    <w:qFormat/>
    <w:uiPriority w:val="9"/>
    <w:rPr>
      <w:rFonts w:asciiTheme="majorHAnsi" w:hAnsiTheme="majorHAnsi" w:eastAsiaTheme="majorEastAsia" w:cstheme="majorBidi"/>
      <w:b/>
      <w:bCs/>
      <w:sz w:val="32"/>
      <w:szCs w:val="32"/>
    </w:rPr>
  </w:style>
  <w:style w:type="character" w:customStyle="1" w:styleId="23">
    <w:name w:val="标题 3 字符"/>
    <w:basedOn w:val="14"/>
    <w:link w:val="4"/>
    <w:qFormat/>
    <w:uiPriority w:val="9"/>
    <w:rPr>
      <w:b/>
      <w:bCs/>
      <w:sz w:val="32"/>
      <w:szCs w:val="32"/>
    </w:rPr>
  </w:style>
  <w:style w:type="paragraph" w:customStyle="1" w:styleId="24">
    <w:name w:val="段"/>
    <w:link w:val="25"/>
    <w:qFormat/>
    <w:uiPriority w:val="99"/>
    <w:pPr>
      <w:tabs>
        <w:tab w:val="center" w:pos="4201"/>
        <w:tab w:val="right" w:leader="dot" w:pos="9298"/>
      </w:tabs>
      <w:autoSpaceDE w:val="0"/>
      <w:autoSpaceDN w:val="0"/>
      <w:ind w:firstLine="420" w:firstLineChars="200"/>
      <w:jc w:val="both"/>
    </w:pPr>
    <w:rPr>
      <w:rFonts w:ascii="宋体" w:hAnsi="Times New Roman" w:eastAsia="宋体" w:cs="宋体"/>
      <w:kern w:val="0"/>
      <w:sz w:val="21"/>
      <w:szCs w:val="21"/>
      <w:lang w:val="en-US" w:eastAsia="zh-CN" w:bidi="ar-SA"/>
    </w:rPr>
  </w:style>
  <w:style w:type="character" w:customStyle="1" w:styleId="25">
    <w:name w:val="段 Char"/>
    <w:basedOn w:val="14"/>
    <w:link w:val="24"/>
    <w:qFormat/>
    <w:locked/>
    <w:uiPriority w:val="99"/>
    <w:rPr>
      <w:rFonts w:ascii="宋体" w:hAnsi="Times New Roman" w:eastAsia="宋体" w:cs="宋体"/>
      <w:kern w:val="0"/>
      <w:szCs w:val="21"/>
    </w:rPr>
  </w:style>
  <w:style w:type="paragraph" w:customStyle="1" w:styleId="26">
    <w:name w:val="CM49"/>
    <w:basedOn w:val="1"/>
    <w:next w:val="1"/>
    <w:qFormat/>
    <w:uiPriority w:val="0"/>
    <w:pPr>
      <w:autoSpaceDE w:val="0"/>
      <w:autoSpaceDN w:val="0"/>
      <w:adjustRightInd w:val="0"/>
      <w:spacing w:after="305"/>
      <w:jc w:val="left"/>
    </w:pPr>
    <w:rPr>
      <w:rFonts w:ascii="宋体" w:hAnsi="Times New Roman" w:eastAsia="宋体" w:cs="宋体"/>
      <w:kern w:val="0"/>
      <w:sz w:val="24"/>
      <w:szCs w:val="24"/>
    </w:rPr>
  </w:style>
  <w:style w:type="character" w:customStyle="1" w:styleId="27">
    <w:name w:val="批注框文本 字符"/>
    <w:basedOn w:val="14"/>
    <w:link w:val="7"/>
    <w:semiHidden/>
    <w:qFormat/>
    <w:uiPriority w:val="99"/>
    <w:rPr>
      <w:sz w:val="18"/>
      <w:szCs w:val="18"/>
    </w:rPr>
  </w:style>
  <w:style w:type="character" w:customStyle="1" w:styleId="28">
    <w:name w:val="脚注文本 字符"/>
    <w:basedOn w:val="14"/>
    <w:link w:val="10"/>
    <w:semiHidden/>
    <w:qFormat/>
    <w:uiPriority w:val="99"/>
    <w:rPr>
      <w:sz w:val="18"/>
      <w:szCs w:val="18"/>
    </w:rPr>
  </w:style>
  <w:style w:type="character" w:customStyle="1" w:styleId="29">
    <w:name w:val="批注文字 字符"/>
    <w:basedOn w:val="14"/>
    <w:link w:val="5"/>
    <w:semiHidden/>
    <w:qFormat/>
    <w:uiPriority w:val="99"/>
  </w:style>
  <w:style w:type="character" w:customStyle="1" w:styleId="30">
    <w:name w:val="标题 字符"/>
    <w:basedOn w:val="14"/>
    <w:link w:val="11"/>
    <w:qFormat/>
    <w:uiPriority w:val="10"/>
    <w:rPr>
      <w:rFonts w:eastAsia="宋体" w:asciiTheme="majorHAnsi" w:hAnsiTheme="majorHAnsi" w:cstheme="majorBidi"/>
      <w:b/>
      <w:bCs/>
      <w:sz w:val="32"/>
      <w:szCs w:val="32"/>
    </w:rPr>
  </w:style>
  <w:style w:type="character" w:customStyle="1" w:styleId="31">
    <w:name w:val="正文文本 字符"/>
    <w:basedOn w:val="14"/>
    <w:link w:val="6"/>
    <w:qFormat/>
    <w:uiPriority w:val="1"/>
    <w:rPr>
      <w:rFonts w:ascii="宋体" w:hAnsi="宋体" w:eastAsia="宋体" w:cs="宋体"/>
      <w:kern w:val="0"/>
      <w:sz w:val="32"/>
      <w:szCs w:val="3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7</Pages>
  <Words>3342</Words>
  <Characters>3455</Characters>
  <Lines>12</Lines>
  <Paragraphs>3</Paragraphs>
  <TotalTime>1</TotalTime>
  <ScaleCrop>false</ScaleCrop>
  <LinksUpToDate>false</LinksUpToDate>
  <CharactersWithSpaces>3469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2014-02-18T02:12:00Z</dcterms:created>
  <dc:creator>deeplm</dc:creator>
  <cp:lastModifiedBy>momo</cp:lastModifiedBy>
  <cp:lastPrinted>2014-03-17T03:12:00Z</cp:lastPrinted>
  <dcterms:modified xsi:type="dcterms:W3CDTF">2026-07-13T08:04:17Z</dcterms:modified>
  <dc:title>认可程序说明和背景介绍</dc:title>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eyJoZGlkIjoiZTk2MjMzMDU2MGYxYTJiMTM5YWVmNmYxZWI1OTU3NzUiLCJ1c2VySWQiOiIxNTc4NjQxMzMwIn0=</vt:lpwstr>
  </property>
  <property fmtid="{D5CDD505-2E9C-101B-9397-08002B2CF9AE}" pid="3" name="KSOProductBuildVer">
    <vt:lpwstr>2052-12.1.0.25225</vt:lpwstr>
  </property>
  <property fmtid="{D5CDD505-2E9C-101B-9397-08002B2CF9AE}" pid="4" name="ICV">
    <vt:lpwstr>232069431FB341F0B2719163A824889E</vt:lpwstr>
  </property>
</Properties>
</file>